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>
          <w:color w:val="000000"/>
        </w:rPr>
      </w:pPr>
      <w:r>
        <w:rPr>
          <w:color w:val="000000"/>
          <w:sz w:val="28"/>
          <w:szCs w:val="28"/>
        </w:rPr>
        <w:tab/>
        <w:tab/>
        <w:tab/>
        <w:tab/>
        <w:tab/>
        <w:tab/>
        <w:tab/>
        <w:tab/>
        <w:tab/>
        <w:tab/>
        <w:tab/>
        <w:tab/>
        <w:tab/>
        <w:t xml:space="preserve">        </w:t>
      </w:r>
      <w:r>
        <w:rPr>
          <w:rFonts w:ascii="Times New Roman" w:hAnsi="Times New Roman"/>
          <w:color w:val="000000"/>
          <w:sz w:val="20"/>
          <w:szCs w:val="20"/>
        </w:rPr>
        <w:t>Утвержден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ab/>
        <w:tab/>
        <w:tab/>
        <w:tab/>
        <w:tab/>
        <w:tab/>
        <w:tab/>
        <w:tab/>
        <w:tab/>
        <w:tab/>
        <w:tab/>
        <w:tab/>
        <w:tab/>
        <w:t xml:space="preserve">            распоряжением контрольно-счетной палаты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0"/>
          <w:szCs w:val="20"/>
        </w:rPr>
        <w:t>муниципального образования Курганинский район</w:t>
      </w:r>
    </w:p>
    <w:p>
      <w:pPr>
        <w:pStyle w:val="Normal"/>
        <w:bidi w:val="0"/>
        <w:jc w:val="left"/>
        <w:rPr>
          <w:color w:val="000000"/>
        </w:rPr>
      </w:pPr>
      <w:r>
        <w:rPr>
          <w:rFonts w:ascii="Times New Roman" w:hAnsi="Times New Roman"/>
          <w:color w:val="000000"/>
          <w:sz w:val="20"/>
          <w:szCs w:val="20"/>
        </w:rPr>
        <w:tab/>
        <w:tab/>
        <w:tab/>
        <w:tab/>
        <w:tab/>
        <w:tab/>
        <w:tab/>
        <w:tab/>
        <w:tab/>
        <w:tab/>
        <w:tab/>
        <w:tab/>
        <w:tab/>
        <w:t xml:space="preserve">            от </w:t>
      </w:r>
      <w:r>
        <w:rPr>
          <w:rFonts w:ascii="Times New Roman" w:hAnsi="Times New Roman"/>
          <w:color w:val="000000"/>
          <w:sz w:val="20"/>
          <w:szCs w:val="20"/>
          <w:lang w:val="en-US"/>
        </w:rPr>
        <w:t>24.12</w:t>
      </w:r>
      <w:r>
        <w:rPr>
          <w:rFonts w:ascii="Times New Roman" w:hAnsi="Times New Roman"/>
          <w:color w:val="000000"/>
          <w:sz w:val="20"/>
          <w:szCs w:val="20"/>
        </w:rPr>
        <w:t xml:space="preserve">. </w:t>
      </w:r>
      <w:r>
        <w:rPr>
          <w:rFonts w:ascii="Times New Roman" w:hAnsi="Times New Roman"/>
          <w:color w:val="000000"/>
          <w:sz w:val="20"/>
          <w:szCs w:val="20"/>
          <w:lang w:val="en-US"/>
        </w:rPr>
        <w:t>2024</w:t>
      </w:r>
      <w:r>
        <w:rPr>
          <w:rFonts w:ascii="Times New Roman" w:hAnsi="Times New Roman"/>
          <w:color w:val="000000"/>
          <w:sz w:val="20"/>
          <w:szCs w:val="20"/>
        </w:rPr>
        <w:t xml:space="preserve"> № </w:t>
      </w:r>
      <w:r>
        <w:rPr>
          <w:rFonts w:ascii="Times New Roman" w:hAnsi="Times New Roman"/>
          <w:color w:val="000000"/>
          <w:sz w:val="20"/>
          <w:szCs w:val="20"/>
          <w:lang w:val="en-US"/>
        </w:rPr>
        <w:t>6</w:t>
      </w:r>
      <w:r>
        <w:rPr>
          <w:rFonts w:ascii="Times New Roman" w:hAnsi="Times New Roman"/>
          <w:color w:val="000000"/>
          <w:sz w:val="20"/>
          <w:szCs w:val="20"/>
          <w:lang w:val="ru-RU"/>
        </w:rPr>
        <w:t>5</w:t>
      </w:r>
      <w:r>
        <w:rPr>
          <w:rFonts w:ascii="Times New Roman" w:hAnsi="Times New Roman"/>
          <w:color w:val="000000"/>
          <w:sz w:val="20"/>
          <w:szCs w:val="20"/>
        </w:rPr>
        <w:t>-РО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0"/>
          <w:szCs w:val="20"/>
        </w:rPr>
        <w:t>(в редакции распоряжения  контрольно-счетной палаты</w:t>
      </w:r>
    </w:p>
    <w:p>
      <w:pPr>
        <w:pStyle w:val="Normal"/>
        <w:bidi w:val="0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муниципального образования Курганинский район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0"/>
          <w:szCs w:val="20"/>
        </w:rPr>
        <w:t>от 05.06.2025 № 31-РО)</w:t>
      </w:r>
    </w:p>
    <w:p>
      <w:pPr>
        <w:pStyle w:val="Normal"/>
        <w:bidi w:val="0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0"/>
          <w:szCs w:val="20"/>
        </w:rPr>
        <w:t xml:space="preserve">  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ab/>
        <w:tab/>
        <w:tab/>
        <w:tab/>
        <w:tab/>
        <w:tab/>
        <w:tab/>
        <w:tab/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ab/>
        <w:tab/>
        <w:tab/>
        <w:tab/>
        <w:tab/>
        <w:tab/>
        <w:tab/>
        <w:tab/>
        <w:tab/>
        <w:tab/>
        <w:t>План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ab/>
        <w:tab/>
        <w:tab/>
        <w:t xml:space="preserve">работы контрольно-счетной палаты муниципального образования Курганинский район на 2025 год 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</w:r>
    </w:p>
    <w:tbl>
      <w:tblPr>
        <w:tblW w:w="14882" w:type="dxa"/>
        <w:jc w:val="left"/>
        <w:tblInd w:w="141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653"/>
        <w:gridCol w:w="8904"/>
        <w:gridCol w:w="1211"/>
        <w:gridCol w:w="1445"/>
        <w:gridCol w:w="2669"/>
      </w:tblGrid>
      <w:tr>
        <w:trPr/>
        <w:tc>
          <w:tcPr>
            <w:tcW w:w="65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890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21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Срок исполнения</w:t>
            </w:r>
          </w:p>
        </w:tc>
        <w:tc>
          <w:tcPr>
            <w:tcW w:w="144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266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Примечание</w:t>
            </w:r>
          </w:p>
        </w:tc>
      </w:tr>
      <w:tr>
        <w:trPr/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229" w:type="dxa"/>
            <w:gridSpan w:val="4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 xml:space="preserve">Контрольно-ревизионные мероприятия   </w:t>
            </w:r>
          </w:p>
          <w:p>
            <w:pPr>
              <w:pStyle w:val="Normal"/>
              <w:widowControl w:val="false"/>
              <w:bidi w:val="0"/>
              <w:jc w:val="left"/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bidi w:val="0"/>
              <w:jc w:val="left"/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45" w:hRule="atLeast"/>
        </w:trPr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Проверка достоверности, полноты и соответствия нормативным требованиям составления и представления годовой бюджетной отчетности главных администраторов средств бюджета МО Курганинский район за 2024 год: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- Администрация МО Курганинский район;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Финансовое управление администрации МО Курганинской район;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-Управление имущественных отношений администрации МО Курганинской район 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- Управление образования администрации МО Курганинской район 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- Отдел культуры администрации МО Курганинской район 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- Отдел по физической культуре и спорту администрации МО Курганинской район;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Отдел по делам молодежи 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администрации МО Курганинской район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-196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Отдел опеки и попечительства в отношении несовершеннолетних 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администрации МО Курганинской район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-196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 КСП МО Курганинский район.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квартал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Инспектор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268.1 БК РФ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trHeight w:val="745" w:hRule="atLeast"/>
        </w:trPr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Проверка достоверности, полноты и соответствия нормативным требованиям составления и представления годовой бюджетной отчетности главных администраторов средств бюджета поселений по переданным полномочиям за 2024 год, в том числе: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Безводное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Воздвиженское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Константиновское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Михайловское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Новоалексеевское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Октябрьское сельское поселение ;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Петропавловское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Родниковское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Темиргоевское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Курганинское городское поселение Курганинского района.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квартал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инспектор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268.1 БК РФ (в соответствии с заключенными соглашениями по переданным полномочиям) </w:t>
            </w:r>
          </w:p>
        </w:tc>
      </w:tr>
      <w:tr>
        <w:trPr>
          <w:trHeight w:val="745" w:hRule="atLeast"/>
        </w:trPr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Проверка эффективности использования бюджетных средств в рамках финансирования муниципальных программ.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 xml:space="preserve">Оценка эффективности формирования муниципальной собственности,  контроль за соблюдением установленного порядка формирования такой собственности, управление и распоряжение такой собственностью (включая исключительные права на результаты интеллектуальной деятельности) учреждений и предприятий  сельских поселений Курганинского района, за период с 2023 года по 2024 год (выборочно). 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Аудит эффективности закупок для муниципальных нужд, производимых администрациями и  учреждениями сельских поселений Курганинского района (выборочно).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Аудит  эффективности использования имущества, находящегося в хозяйственном ведении муниципальных унитарных предприятий (выборочно).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2-3 квартал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инспектор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п.п.1 п.1, п.п 5 п.1,п.п.4 п.1п.п1 п.1 статьи 8 Положения.</w:t>
            </w:r>
          </w:p>
        </w:tc>
      </w:tr>
      <w:tr>
        <w:trPr/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Проверка эффективности использования средств местного бюджета в рамках  софинансирования муниципальных программ, в том числе в целях реализации национальных проектов Российской Федерации, региональных проектов Краснодарского края (выборочно).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 течении года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Инспектор 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п.п.1 п1 ст.8 Положения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Проверка целевого и эффективного использования в 2023-2024 годах средств местного бюджета, выделенных на финансово-хозяйственную деятельность, включая эффективность использования муниципального имущества, а также иных средств в случаях, предусмотренных законодательством Российской Федерации, в том  числе межбюджетные трансферты в рамках национальных и региональных проектов, муниципальных программ, аудит закупок, муниципальное задание, госстандарт в том числе бюджетных и автономных учреждений, подведомственных управлению образования муниципального образования Курганинский район (выборочно) . 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3-4 квартал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Инспектор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ст.129,ст.135,136 БК РФ, ст 142  БК РФ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 1, ст.98  44-ФЗ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п.п1 п.1 , п.п.4.п.1, п.п.5.п.1.ст.8  Положения</w:t>
            </w:r>
          </w:p>
        </w:tc>
      </w:tr>
      <w:tr>
        <w:trPr/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 xml:space="preserve">Проверка целевого и эффективного использования средств местного бюджета выделенных на финансово-хозяйственную деятельность муниципального бюджетного учреждения культуры «Темиргоевский культурно-досуговый центр», включая эффективность использования муниципального имущества за период с 2023 и 2024 год. 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 xml:space="preserve">Аудит эффективности закупок для муниципальных нужд. 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1-2 квартал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инспектор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п.п1 п.1 ,п.п.4 п.1 п.п.5.п.1.статьи 8 Положения</w:t>
            </w:r>
          </w:p>
        </w:tc>
      </w:tr>
      <w:tr>
        <w:trPr/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 xml:space="preserve">Проверка целевого и эффективного использования средств местного бюджета выделенных на финансово-хозяйственную деятельность 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</w:rPr>
              <w:t>муниципального бюджетного учреждения дополнительного образования детская художественная школа г. Курганинска муниципального образования Курганинский район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 xml:space="preserve">, включая эффективность использования муниципального имущества за период с 2023 по  2024 год. 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Аудит эффективности закупок для муниципальных нужд.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2 -3 квартал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инспектор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п.п1 п.1 ,п.п.4 п.1 п.п.5.п.1.статьи 8 Положения</w:t>
            </w:r>
          </w:p>
        </w:tc>
      </w:tr>
      <w:tr>
        <w:trPr/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 xml:space="preserve">Проверка целевого и эффективного использования средств местного бюджета выделенных на финансово-хозяйственную деятельность 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муниципального бюджетного учреждения дополнительного образования детская хоровая школа г. курганинска муниципального образования курганинский район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, включая эффективность использования муниципального имущества за период с 2023 по  2024 год. Аудит эффективности закупок для муниципальных нужд.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2 -3 квартал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инспектор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п.п1 п.1 ,п.п.4 п.1 п.п.5.п.1.статьи 8 Положения</w:t>
            </w:r>
          </w:p>
        </w:tc>
      </w:tr>
      <w:tr>
        <w:trPr/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ind w:left="0" w:right="0" w:hanging="0"/>
              <w:jc w:val="both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Проверка деятельности сельских поселений Курганинского района</w:t>
            </w:r>
            <w:r>
              <w:rPr>
                <w:rFonts w:ascii="Times New Roman" w:hAnsi="Times New Roman"/>
                <w:color w:val="000000"/>
                <w:sz w:val="20"/>
                <w:szCs w:val="20"/>
                <w:highlight w:val="white"/>
                <w:shd w:fill="auto" w:val="clear"/>
              </w:rPr>
              <w:t xml:space="preserve"> по</w:t>
            </w:r>
            <w:r>
              <w:rPr>
                <w:rFonts w:ascii="Times New Roman" w:hAnsi="Times New Roman"/>
                <w:color w:val="000000"/>
                <w:spacing w:val="0"/>
                <w:sz w:val="20"/>
                <w:szCs w:val="20"/>
                <w:highlight w:val="white"/>
                <w:shd w:fill="auto" w:val="clear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 xml:space="preserve">управлению и распоряжению 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</w:rPr>
              <w:t>в 2023 – 2024 годах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 xml:space="preserve"> земельными ресурсами, находящимися в</w:t>
            </w:r>
            <w:r>
              <w:rPr>
                <w:rFonts w:ascii="Times New Roman" w:hAnsi="Times New Roman"/>
                <w:color w:val="000000"/>
                <w:spacing w:val="0"/>
                <w:sz w:val="20"/>
                <w:szCs w:val="20"/>
                <w:shd w:fill="auto" w:val="clear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муниципальной собственн</w:t>
            </w:r>
            <w:r>
              <w:rPr>
                <w:rFonts w:ascii="Times New Roman" w:hAnsi="Times New Roman"/>
                <w:color w:val="000000"/>
                <w:sz w:val="20"/>
                <w:szCs w:val="20"/>
                <w:highlight w:val="white"/>
                <w:shd w:fill="auto" w:val="clear"/>
              </w:rPr>
              <w:t>ости, и</w:t>
            </w:r>
            <w:r>
              <w:rPr>
                <w:rFonts w:ascii="Times New Roman" w:hAnsi="Times New Roman"/>
                <w:color w:val="000000"/>
                <w:spacing w:val="0"/>
                <w:sz w:val="20"/>
                <w:szCs w:val="20"/>
                <w:highlight w:val="white"/>
                <w:shd w:fill="auto" w:val="clear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земельными участками, государственная собственность на которые не</w:t>
            </w:r>
            <w:r>
              <w:rPr>
                <w:rFonts w:ascii="Times New Roman" w:hAnsi="Times New Roman"/>
                <w:color w:val="000000"/>
                <w:spacing w:val="0"/>
                <w:sz w:val="20"/>
                <w:szCs w:val="20"/>
                <w:shd w:fill="auto" w:val="clear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разграничена (выборочно)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</w:rPr>
              <w:t xml:space="preserve"> (иные периоды в рамках достижения целей мероприятия, параллельно с Контрольно-счетной палатой Краснодарского края</w:t>
            </w:r>
            <w:r>
              <w:rPr>
                <w:rFonts w:ascii="Times New Roman" w:hAnsi="Times New Roman"/>
                <w:color w:val="000000"/>
                <w:sz w:val="20"/>
                <w:szCs w:val="20"/>
                <w:highlight w:val="white"/>
                <w:shd w:fill="auto" w:val="clear"/>
              </w:rPr>
              <w:t>)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3 -4 квартал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Инспектор 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п.п.5.п.1.ст.8  Положения</w:t>
            </w:r>
          </w:p>
        </w:tc>
      </w:tr>
      <w:tr>
        <w:trPr/>
        <w:tc>
          <w:tcPr>
            <w:tcW w:w="14882" w:type="dxa"/>
            <w:gridSpan w:val="5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2.Экспертно-аналитическая деятельность</w:t>
            </w:r>
          </w:p>
          <w:p>
            <w:pPr>
              <w:pStyle w:val="Normal"/>
              <w:widowControl w:val="false"/>
              <w:bidi w:val="0"/>
              <w:jc w:val="both"/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bidi w:val="0"/>
              <w:jc w:val="both"/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1248" w:hRule="atLeast"/>
        </w:trPr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Анализ и мониторинг бюджетного процесса,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Федерации, в том числе проверка составления и ведения сводной бюджетной росписи, проверка составления и ведения кассового плана, исполнение требований бюджетного законодательства по составлению, утверждению и ведению бюджетных смет казенных учреждений 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в 2023-2024 году и утверждение их на 2025 год: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Михайловское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Петропавловское сельское 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Темиргоевское  сельское поселение Курганинского района.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Оценка эффективности предоставления налоговых и иных льгот и преимуществ, бюджетных кредитов за счет средств местного бюджета, а также оценка законности предоставления муниципальных гарантий и поручительства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местного бюджета и имущества, находящегося в муниципальной собственности се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льского поселения.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Контроль за состоянием муниципального внутреннего и внешнего долга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Михайловское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Петропавловское сельское 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Темиргоевское  сельское поселение Курганинского района.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Оценка реализуемости, рисков и результатов достижения целей социально-экономического развития поселения, предусмотренных документами стратегического планирования  в пределах компетенции КСП МО Курганинский район.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Михайлвское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Петропавловское сельское 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Темиргоевское  сельское поселение Курганинского района.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2 - 4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 xml:space="preserve"> квартал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инспектор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 217,217.1, 219.1 ,221 БК РФ 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п.п.8 п1 ст.8, п.п 6 п 1, ст8,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п.п.11 п1 ст.8, п.п.10 п 1 ст 8 Положения.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ч.2 ст.157 БКст. 268.1 БК РФ (в соответствии с заключенными соглашениями по переданным полномочиям)</w:t>
            </w:r>
          </w:p>
        </w:tc>
      </w:tr>
      <w:tr>
        <w:trPr>
          <w:trHeight w:val="687" w:hRule="atLeast"/>
        </w:trPr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Внешняя проверка годового отчета об исполнении местного бюджета за 2024 год — бюджет муниципального образования Курганинский район 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квартал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ст.264.4 БК РФ,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п.3.ч.2.ст.9 Закона 6-ФЗ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 xml:space="preserve">п. 3 ст. 8 Положения </w:t>
            </w:r>
          </w:p>
        </w:tc>
      </w:tr>
      <w:tr>
        <w:trPr>
          <w:trHeight w:val="1248" w:hRule="atLeast"/>
        </w:trPr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Внешняя проверка годового отчета об исполнении местного бюджета за 2024 год -  бюджеты поселений,  входящих в состав муниципального образования Курганинский район 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</w:rPr>
              <w:t>в пределах переданных полномочий, в рамках заключенных соглашений, том числе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Безводное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Воздвиженское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Константиновское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Михайловское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Новоалексеевское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Октябрьское сельское поселение ;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Петропавловское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Родниковское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Темиргоевское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Курганинское городское поселение Курганинского района.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квартал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инспектор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ст.264.4 БК РФ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п.3.ч.2.ст.9 Закона 6-ФЗ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 3 ст. 8 Положения (в соответствии с заключенными соглашениями по переданным полномочиям)</w:t>
            </w:r>
          </w:p>
        </w:tc>
      </w:tr>
      <w:tr>
        <w:trPr>
          <w:trHeight w:val="1081" w:hRule="atLeast"/>
        </w:trPr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2.4.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Экспертиза проектов  муниципальных правовых актов в части, касающейся расходных обязательств муниципального образования, экспертиза проектов муниципальных правовых актов, приводящих к изменению доходов местного бюджета, а также муниципальных программ(проектов муниципальных программ), в том числе по переданным полномочиям.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года, по мере поступления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инспектор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п.7 ч.2 ст.9 Закона 6-ФЗ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 7 ст. 8 Положения</w:t>
            </w:r>
          </w:p>
        </w:tc>
      </w:tr>
      <w:tr>
        <w:trPr>
          <w:trHeight w:val="964" w:hRule="atLeast"/>
        </w:trPr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Оценка реализуемости, рисков и результатов достижения целей социально-экономического развития муниципального образования Курганинский район, предусмотренных документами стратегического планирования  в пределах компетенции КСП МО Курганинский район;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ходе мероприятий  2.2,2.3,2.4, 2.5,2.6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Инспектор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п.11 ч. 2 ст 9 Закона 6-ФЗ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 11 ст. 8 Положения</w:t>
            </w:r>
          </w:p>
        </w:tc>
      </w:tr>
      <w:tr>
        <w:trPr>
          <w:trHeight w:val="1082" w:hRule="atLeast"/>
        </w:trPr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Оперативный анализ исполнения и контроль за организацией исполнения бюджета муниципального образования Курганинский район, в том числе  рисков не достижения в 2025 году целевых  показателей (показателей эффективности, графиков мероприятий) результативности  исполнения  региональных программ, в том числе по переданным полномочиям. 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течении года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п.п.9, п 1,ст.8 Положения</w:t>
            </w:r>
          </w:p>
        </w:tc>
      </w:tr>
      <w:tr>
        <w:trPr>
          <w:trHeight w:val="704" w:hRule="atLeast"/>
        </w:trPr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Экспертиза проекта местного бюджета, проверка и анализ обоснованности его показателей на 2026 год и плановый период 2027 и 2028 годы. 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 квартал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</w:rPr>
              <w:t>Председатель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</w:rPr>
              <w:t>инспектор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 2 ст.157БК РФ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п.2 ч.2 ст.9 Закона 6-ФЗ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 xml:space="preserve">п. 2 ст. 8 Положения </w:t>
            </w:r>
          </w:p>
        </w:tc>
      </w:tr>
      <w:tr>
        <w:trPr>
          <w:trHeight w:val="1248" w:hRule="atLeast"/>
        </w:trPr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</w:rPr>
              <w:t>Экспертиза проектов бюджетов поселений Курганинского района, проверка и анализ обоснованности его показателей на 2026 год (в пределах переданных полномочий, в рамках заключенных соглашений):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Безводное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Воздвиженское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Константиновское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Михайловское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Новоалексеевское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Октябрьское сельское поселение ;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Петропавловское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Родниковское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Темиргоевское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Курганинское городское поселение Курганинского района.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 квартал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</w:rPr>
              <w:t>Председатель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</w:rPr>
              <w:t>Инспектор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 2 ст.157БК РФ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п.2 ч.2 ст.9 Закона 6-ФЗ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 2 ст. 8 Положения</w:t>
            </w:r>
          </w:p>
        </w:tc>
      </w:tr>
      <w:tr>
        <w:trPr/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2.8.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</w:rPr>
              <w:t>Анализ управления дебиторской задолженностью по доходам и снижению  суммы просроченной дебиторской задолженности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течении года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</w:rPr>
              <w:t>Председатель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</w:rPr>
              <w:t>Инспектор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п.9 ч.2 ст.9 Закона 6-ФЗ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 9 ст. 8 Положения</w:t>
            </w:r>
          </w:p>
        </w:tc>
      </w:tr>
      <w:tr>
        <w:trPr>
          <w:trHeight w:val="846" w:hRule="atLeast"/>
        </w:trPr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экспертно-аналитических мероприятий на основании обращений (поручений)  прокуратуры Курганинского района, иных правоохранительных, надзорных органов расположенных на территории Курганинского района, депутатских запросов, обращений граждан и организаций, в том числе участие в пределах полномочий в мероприятиях, направленных на противодействие коррупции.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1-4 квартал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инспектор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ст.9 , ст.18 Закона 6-ФЗ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положения Закона 59-ФЗ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ст.8, ст. 19 Положения</w:t>
            </w:r>
          </w:p>
        </w:tc>
      </w:tr>
      <w:tr>
        <w:trPr>
          <w:trHeight w:val="846" w:hRule="atLeast"/>
        </w:trPr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Анализ планирования и использования бюджетных средств, направленных в 2024  году на финансовое обеспечение проведения углубленных медицинских </w:t>
            </w:r>
            <w:r>
              <w:rPr>
                <w:rFonts w:ascii="Times New Roman" w:hAnsi="Times New Roman"/>
                <w:color w:val="000000"/>
                <w:spacing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смотров лиц, занимающихся физической культурой и и спортом в организациях Курганинского района, реализующих программы спортивной подготовки, и (или) дополнительные образовательные программы в области физической культуры и спорта (выборочно) (в формате параллельного экспертно-аналитичкского мероприятия с Контрольно-счетной палатой Краснодарского края)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3-4 квартал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Инспектор 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ст.8, ст. 19 Положения</w:t>
            </w:r>
          </w:p>
        </w:tc>
      </w:tr>
      <w:tr>
        <w:trPr/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4229" w:type="dxa"/>
            <w:gridSpan w:val="4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Реализация материалов контрольных и экспертно аналитических мероприятий</w:t>
            </w:r>
          </w:p>
        </w:tc>
      </w:tr>
      <w:tr>
        <w:trPr/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Контроль за принятием проверенными организациями мер по устранению выявленных  нарушений и недостатков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руководитель мероприятия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Положение КСП</w:t>
            </w:r>
          </w:p>
        </w:tc>
      </w:tr>
      <w:tr>
        <w:trPr/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Внесение представлений, направление предписаний по результатам проведения контрольных мероприятий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руководитель мероприятия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ст.16 Закона 6-ФЗ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ст.270.2 БК РФ</w:t>
            </w:r>
          </w:p>
        </w:tc>
      </w:tr>
      <w:tr>
        <w:trPr/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Направление уполномоченным органам уведомлений о применении бюджетных мер принуждения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руководитель мероприятия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ст.268.1 БК РФ</w:t>
            </w:r>
          </w:p>
        </w:tc>
      </w:tr>
      <w:tr>
        <w:trPr/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Методологическое обеспечение и кадровая работа</w:t>
            </w:r>
          </w:p>
        </w:tc>
        <w:tc>
          <w:tcPr>
            <w:tcW w:w="5325" w:type="dxa"/>
            <w:gridSpan w:val="3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Подготовка и утверждение стандартов и методик внешнего муниципального финансового контроля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ст.11 Закона 6-ФЗ</w:t>
            </w:r>
          </w:p>
        </w:tc>
      </w:tr>
      <w:tr>
        <w:trPr/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Изучение практического опыта работы контрольно-счетных органов Российской Федерации, внесение предложений по его внедрению в работу КСП МО Курганинский район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председатель,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>
        <w:trPr/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Ведение кадровой работы в соответствии с требованиями действующего законодательства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ответственное лицо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ст.28 Закона 25-ФЗ, ТК РФ</w:t>
            </w:r>
          </w:p>
        </w:tc>
      </w:tr>
      <w:tr>
        <w:trPr/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4229" w:type="dxa"/>
            <w:gridSpan w:val="4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Материально-техническое обеспечение и бухгалтерский учет</w:t>
            </w:r>
          </w:p>
        </w:tc>
      </w:tr>
      <w:tr>
        <w:trPr/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Подготовка и исполнение сметы расходов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и реестра расходных обязательств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КСП МО Курганинский район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ответственное лицо КСП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ст.161 БК РФ</w:t>
            </w:r>
          </w:p>
        </w:tc>
      </w:tr>
      <w:tr>
        <w:trPr/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Составление и предоставление в установленные сроки бюджетной, налоговой и статистической отчетности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ответственное лицо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ст.264.1, 264.2 БК РФ</w:t>
            </w:r>
          </w:p>
        </w:tc>
      </w:tr>
      <w:tr>
        <w:trPr/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закупок товаров, работ и услуг для нужд КСП МО Курганинский район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ответственное лицо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ст.72 БК</w:t>
            </w:r>
          </w:p>
        </w:tc>
      </w:tr>
      <w:tr>
        <w:trPr/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5.4.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инвентаризации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 графику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ответственное лицо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ст.11 Федерального закона от 06.12.2011 года № 402-ФЗ «О бухгалтерском учете»</w:t>
            </w:r>
          </w:p>
        </w:tc>
      </w:tr>
      <w:tr>
        <w:trPr/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11560" w:type="dxa"/>
            <w:gridSpan w:val="3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Организационная работа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>
        <w:trPr/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6.1.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Подготовка (корректировка) плана работы КСП МО Курганинский район на 2026 год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ст.12 Закона 6-ФЗ</w:t>
            </w:r>
          </w:p>
        </w:tc>
      </w:tr>
      <w:tr>
        <w:trPr/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6.2.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Подготовка ежегодного отчета о деятельности КСП МО Курганинский район в представительный орган муниципального образования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январь-февраль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ч.2.ст.19 Закона 6-ФЗ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Участие в работе сессий Совета муниципального образования Курганинский район, заседаниях комиссий Совета муниципального образования Курганинский район, совещаниях и мероприятиях, проводимых администрацией муниципального образования Курганинский район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ст.15 положения</w:t>
            </w:r>
          </w:p>
        </w:tc>
      </w:tr>
      <w:tr>
        <w:trPr/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6.4.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Подготовка (корректировка) регламента работы, стандартов внешнего муниципального финансового контроля, плана работы, других документов регламентирующих деятельность КСП МО Курганинский район в соответствии с требованиями действующего законодательства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ст.11 Закона 6-ФЗ</w:t>
            </w:r>
          </w:p>
        </w:tc>
      </w:tr>
      <w:tr>
        <w:trPr/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6.5.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Рассмотрение запросов и обращений по вопросам, входящим в компетенцию  КСП МО Курганинский район.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председатель,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Закон 59-ФЗ </w:t>
            </w:r>
          </w:p>
        </w:tc>
      </w:tr>
      <w:tr>
        <w:trPr/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6.6.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Участие в конференции Совета КСО Краснодарского края 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ст.18 Закона 6-ФЗ</w:t>
            </w:r>
          </w:p>
        </w:tc>
      </w:tr>
      <w:tr>
        <w:trPr/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6.7.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Подготовка информации по основным показателям деятельности КСП МО Курганинский район для участия в Конкурсе на звание «Лучший муниципальный контрольно-счетный орган Краснодарского края»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ст.11 Закона 6-ФЗ</w:t>
            </w:r>
          </w:p>
        </w:tc>
      </w:tr>
      <w:tr>
        <w:trPr/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6.8.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Участие сотрудников КСП МО Курганинский район в учебных семинарах, конференциях, проводимых счетной палатой Российской Федерации, КСП МО Курганинский район Краснодарского края, Совета КСО Краснодарского края, Ассоциацией КСО Российской Федерации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Председатель,  инспекторы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ст.11 Закона 25-ФЗ</w:t>
            </w:r>
          </w:p>
        </w:tc>
      </w:tr>
      <w:tr>
        <w:trPr/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6.9.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номенклатуры дел КСП МО Курганинский район на 2026 год (при необходимости)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председатель, ответственное лицо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ind w:left="0" w:right="0" w:hanging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18"/>
                <w:szCs w:val="18"/>
              </w:rPr>
              <w:t>Приказ № 236</w:t>
            </w:r>
          </w:p>
          <w:p>
            <w:pPr>
              <w:pStyle w:val="Normal"/>
              <w:widowControl w:val="false"/>
              <w:bidi w:val="0"/>
              <w:ind w:left="0" w:right="0" w:hanging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18"/>
                <w:szCs w:val="18"/>
              </w:rPr>
              <w:t>Приказ № 77</w:t>
            </w:r>
          </w:p>
        </w:tc>
      </w:tr>
      <w:tr>
        <w:trPr/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6.10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мероприятий по противодействию коррупции, в тот числе принятие мер по предотвращению коррупции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Председатель,  инспекторы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п. 12 ч. 2 ст. 9 Закона 6-ФЗ</w:t>
            </w:r>
          </w:p>
          <w:p>
            <w:pPr>
              <w:pStyle w:val="Normal"/>
              <w:widowControl w:val="false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Закон 273-ФЗ</w:t>
            </w:r>
          </w:p>
          <w:p>
            <w:pPr>
              <w:pStyle w:val="Normal"/>
              <w:widowControl w:val="false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ст. 1 п. 7 ст.38, п. 10ст. 39 Закона 44-ФЗ</w:t>
            </w:r>
          </w:p>
          <w:p>
            <w:pPr>
              <w:pStyle w:val="Normal"/>
              <w:widowControl w:val="false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Положение</w:t>
            </w:r>
          </w:p>
        </w:tc>
      </w:tr>
      <w:tr>
        <w:trPr/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Информационная деятельность</w:t>
            </w:r>
          </w:p>
        </w:tc>
        <w:tc>
          <w:tcPr>
            <w:tcW w:w="5325" w:type="dxa"/>
            <w:gridSpan w:val="3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оперативного анализа исполнения и контроля за организацией исполнения местного бюджета в текущем финансовом году, представление информации о ходе исполнения местного бюджета, городского и сельских поселений о результатах проведенных контрольных и экспертно-аналитических мероприятий в Советы муниципальных образований и главам муниципальных образований.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руководители мероприятий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п.9 ч.2 ст.8 Закона 6-ФЗ</w:t>
            </w:r>
          </w:p>
        </w:tc>
      </w:tr>
      <w:tr>
        <w:trPr/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7.2.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Подготовка информации о ходе исполнения бюджетов городского и сельских поселений, входящих в состав муниципального образования Курганинский район, о результатах проведенных контрольных и экспертно-аналитических мероприятий и предоставление такой информации в Советы городского и сельских поселений и главе городского и сельских поселений, входящих в состав муниципального образования Курганинский район.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руководители мероприятий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п.9 ч.2 ст.2 Закона 6-ФЗ</w:t>
            </w:r>
          </w:p>
        </w:tc>
      </w:tr>
      <w:tr>
        <w:trPr/>
        <w:tc>
          <w:tcPr>
            <w:tcW w:w="653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7.3.</w:t>
            </w:r>
          </w:p>
        </w:tc>
        <w:tc>
          <w:tcPr>
            <w:tcW w:w="8904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Размещение в сети «Интернет» информации о деятельности  КСП МО Курганинский район</w:t>
            </w:r>
          </w:p>
        </w:tc>
        <w:tc>
          <w:tcPr>
            <w:tcW w:w="1211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</w:tc>
        <w:tc>
          <w:tcPr>
            <w:tcW w:w="266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ст.14 Закона 8-ФЗ, 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ст.19 Закона 6-ФЗ</w:t>
            </w:r>
          </w:p>
        </w:tc>
      </w:tr>
    </w:tbl>
    <w:p>
      <w:pPr>
        <w:pStyle w:val="Normal"/>
        <w:bidi w:val="0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</w:r>
    </w:p>
    <w:p>
      <w:pPr>
        <w:pStyle w:val="Normal"/>
        <w:bidi w:val="0"/>
        <w:ind w:left="0" w:right="0" w:firstLine="737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Председатель контрольно-счетной палаты</w:t>
      </w:r>
    </w:p>
    <w:p>
      <w:pPr>
        <w:pStyle w:val="Normal"/>
        <w:bidi w:val="0"/>
        <w:ind w:left="0" w:right="0" w:firstLine="737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муниципального образования Курганинский район                                                                                                               Н.В. Аванесова</w:t>
      </w:r>
    </w:p>
    <w:p>
      <w:pPr>
        <w:pStyle w:val="Normal"/>
        <w:bidi w:val="0"/>
        <w:ind w:left="0" w:right="0" w:firstLine="737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</w:r>
    </w:p>
    <w:p>
      <w:pPr>
        <w:pStyle w:val="Normal"/>
        <w:bidi w:val="0"/>
        <w:ind w:left="0" w:right="0" w:firstLine="737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Сокращения, используемые при составлении плана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1)   контрольно-счетная палата муниципального образования Курганинский район — КСП МО Курганинский район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2)  Положение о контрольно-счетной палате муниципального образования Курганинский район – Положение;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3)  Положение о бюджетном процессе в муниципальном образовании Курганинский район – Бюджетный процесс;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4)   Бюджет муниципального образования  Курганинский район, бюджеты городского и сельских поселений,  входящих в состав муниципального образования Курганинский район – Местный бюджет;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5)   Устав муниципального образования муниципального образования Курганинский район– Устав;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6)  Федеральный закон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 - Закон 6-ФЗ;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7)  Регламент КСП МО Курганинский район - Регламент;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8)  Бюджетный кодекс РФ – БК РФ;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 xml:space="preserve">9)  Федеральный закон от 05.04.2013 № 44-ФЗ «О контрактной системе в сфере закупок товаров, работ, услуг для обеспечения государственных и муниципальных нужд» - Закон 44-ФЗ; </w:t>
      </w:r>
    </w:p>
    <w:p>
      <w:pPr>
        <w:pStyle w:val="Normal"/>
        <w:bidi w:val="0"/>
        <w:ind w:left="0" w:right="0" w:hanging="0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16"/>
          <w:szCs w:val="16"/>
        </w:rPr>
        <w:t>10) Федеральный закон от 02.03.2007 № 25-ФЗ «О муниципальной службе в Российской Федерации» – Закон 25-ФЗ.</w:t>
      </w:r>
    </w:p>
    <w:p>
      <w:pPr>
        <w:pStyle w:val="Normal"/>
        <w:bidi w:val="0"/>
        <w:ind w:left="0" w:right="0" w:hanging="0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11) </w:t>
      </w:r>
      <w:r>
        <w:rPr>
          <w:rFonts w:ascii="Times New Roman" w:hAnsi="Times New Roman"/>
          <w:color w:val="000000"/>
          <w:sz w:val="16"/>
          <w:szCs w:val="16"/>
        </w:rPr>
        <w:t>Федеральный закон от 25.12.2008 № 273-ФЗ «О противодействии коррупции» – Закон 273-ФЗ.</w:t>
      </w:r>
    </w:p>
    <w:p>
      <w:pPr>
        <w:pStyle w:val="Normal"/>
        <w:bidi w:val="0"/>
        <w:ind w:left="0" w:right="0" w:hanging="0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16"/>
          <w:szCs w:val="16"/>
        </w:rPr>
        <w:t>12)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16"/>
          <w:szCs w:val="16"/>
        </w:rPr>
        <w:t>Федеральный закон от 02.05.2006 № 59-ФЗ «О порядке рассмотрения обращения граждан Российской Федерации — Закон 59-ФЗ</w:t>
      </w:r>
    </w:p>
    <w:p>
      <w:pPr>
        <w:pStyle w:val="Normal"/>
        <w:bidi w:val="0"/>
        <w:ind w:left="0" w:right="0" w:hanging="0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16"/>
          <w:szCs w:val="16"/>
        </w:rPr>
        <w:t xml:space="preserve">13) </w:t>
      </w:r>
      <w:r>
        <w:rPr>
          <w:rFonts w:ascii="Times New Roman" w:hAnsi="Times New Roman"/>
          <w:i w:val="false"/>
          <w:iCs w:val="false"/>
          <w:color w:val="000000"/>
          <w:sz w:val="16"/>
          <w:szCs w:val="16"/>
        </w:rPr>
        <w:t xml:space="preserve">Приказ Федерального </w:t>
      </w:r>
      <w:r>
        <w:rPr>
          <w:rStyle w:val="Style15"/>
          <w:rFonts w:ascii="Times New Roman" w:hAnsi="Times New Roman"/>
          <w:i w:val="false"/>
          <w:iCs w:val="false"/>
          <w:color w:val="000000"/>
          <w:sz w:val="16"/>
          <w:szCs w:val="16"/>
        </w:rPr>
        <w:t>архивного</w:t>
      </w:r>
      <w:r>
        <w:rPr>
          <w:rFonts w:ascii="Times New Roman" w:hAnsi="Times New Roman"/>
          <w:i w:val="false"/>
          <w:iCs w:val="false"/>
          <w:color w:val="000000"/>
          <w:sz w:val="16"/>
          <w:szCs w:val="16"/>
        </w:rPr>
        <w:t xml:space="preserve"> агентства от 20 декабря 2019г. № 236 "Об </w:t>
      </w:r>
      <w:r>
        <w:rPr>
          <w:rStyle w:val="Style15"/>
          <w:rFonts w:ascii="Times New Roman" w:hAnsi="Times New Roman"/>
          <w:i w:val="false"/>
          <w:iCs w:val="false"/>
          <w:color w:val="000000"/>
          <w:sz w:val="16"/>
          <w:szCs w:val="16"/>
        </w:rPr>
        <w:t>утверждении</w:t>
      </w:r>
      <w:r>
        <w:rPr>
          <w:rFonts w:ascii="Times New Roman" w:hAnsi="Times New Roman"/>
          <w:i w:val="false"/>
          <w:iCs w:val="false"/>
          <w:color w:val="000000"/>
          <w:sz w:val="16"/>
          <w:szCs w:val="16"/>
        </w:rPr>
        <w:t xml:space="preserve"> </w:t>
      </w:r>
      <w:r>
        <w:rPr>
          <w:rStyle w:val="Style15"/>
          <w:rFonts w:ascii="Times New Roman" w:hAnsi="Times New Roman"/>
          <w:i w:val="false"/>
          <w:iCs w:val="false"/>
          <w:color w:val="000000"/>
          <w:sz w:val="16"/>
          <w:szCs w:val="16"/>
        </w:rPr>
        <w:t>Перечня</w:t>
      </w:r>
      <w:r>
        <w:rPr>
          <w:rFonts w:ascii="Times New Roman" w:hAnsi="Times New Roman"/>
          <w:i w:val="false"/>
          <w:iCs w:val="false"/>
          <w:color w:val="000000"/>
          <w:sz w:val="16"/>
          <w:szCs w:val="16"/>
        </w:rPr>
        <w:t xml:space="preserve"> </w:t>
      </w:r>
      <w:r>
        <w:rPr>
          <w:rStyle w:val="Style15"/>
          <w:rFonts w:ascii="Times New Roman" w:hAnsi="Times New Roman"/>
          <w:i w:val="false"/>
          <w:iCs w:val="false"/>
          <w:color w:val="000000"/>
          <w:sz w:val="16"/>
          <w:szCs w:val="16"/>
        </w:rPr>
        <w:t>типовых</w:t>
      </w:r>
      <w:r>
        <w:rPr>
          <w:rFonts w:ascii="Times New Roman" w:hAnsi="Times New Roman"/>
          <w:i w:val="false"/>
          <w:iCs w:val="false"/>
          <w:color w:val="000000"/>
          <w:sz w:val="16"/>
          <w:szCs w:val="16"/>
        </w:rPr>
        <w:t xml:space="preserve"> </w:t>
      </w:r>
      <w:bookmarkStart w:id="0" w:name="ext-gen2108"/>
      <w:bookmarkEnd w:id="0"/>
      <w:r>
        <w:rPr>
          <w:rStyle w:val="Style15"/>
          <w:rFonts w:ascii="Times New Roman" w:hAnsi="Times New Roman"/>
          <w:i w:val="false"/>
          <w:iCs w:val="false"/>
          <w:color w:val="000000"/>
          <w:sz w:val="16"/>
          <w:szCs w:val="16"/>
        </w:rPr>
        <w:t>управленческих</w:t>
      </w:r>
      <w:r>
        <w:rPr>
          <w:rFonts w:ascii="Times New Roman" w:hAnsi="Times New Roman"/>
          <w:i w:val="false"/>
          <w:iCs w:val="false"/>
          <w:color w:val="000000"/>
          <w:sz w:val="16"/>
          <w:szCs w:val="16"/>
        </w:rPr>
        <w:t xml:space="preserve"> </w:t>
      </w:r>
      <w:r>
        <w:rPr>
          <w:rStyle w:val="Style15"/>
          <w:rFonts w:ascii="Times New Roman" w:hAnsi="Times New Roman"/>
          <w:i w:val="false"/>
          <w:iCs w:val="false"/>
          <w:color w:val="000000"/>
          <w:sz w:val="16"/>
          <w:szCs w:val="16"/>
        </w:rPr>
        <w:t>архивных</w:t>
      </w:r>
      <w:r>
        <w:rPr>
          <w:rFonts w:ascii="Times New Roman" w:hAnsi="Times New Roman"/>
          <w:i w:val="false"/>
          <w:iCs w:val="false"/>
          <w:color w:val="000000"/>
          <w:sz w:val="16"/>
          <w:szCs w:val="16"/>
        </w:rPr>
        <w:t xml:space="preserve"> </w:t>
      </w:r>
      <w:r>
        <w:rPr>
          <w:rStyle w:val="Style15"/>
          <w:rFonts w:ascii="Times New Roman" w:hAnsi="Times New Roman"/>
          <w:i w:val="false"/>
          <w:iCs w:val="false"/>
          <w:color w:val="000000"/>
          <w:sz w:val="16"/>
          <w:szCs w:val="16"/>
        </w:rPr>
        <w:t>документов</w:t>
      </w:r>
      <w:r>
        <w:rPr>
          <w:rFonts w:ascii="Times New Roman" w:hAnsi="Times New Roman"/>
          <w:i w:val="false"/>
          <w:iCs w:val="false"/>
          <w:color w:val="000000"/>
          <w:sz w:val="16"/>
          <w:szCs w:val="16"/>
        </w:rPr>
        <w:t xml:space="preserve">, образующихся в процессе деятельности государственных органов, органов местного самоуправления и организаций, с указанием сроков их хранения" — Приказ № 236 </w:t>
      </w:r>
    </w:p>
    <w:p>
      <w:pPr>
        <w:pStyle w:val="Normal"/>
        <w:bidi w:val="0"/>
        <w:ind w:left="0" w:right="0" w:hanging="0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i w:val="false"/>
          <w:iCs w:val="false"/>
          <w:color w:val="000000"/>
          <w:sz w:val="16"/>
          <w:szCs w:val="16"/>
        </w:rPr>
        <w:t xml:space="preserve">Приказ Федерального архивного агентства от </w:t>
      </w:r>
      <w:r>
        <w:rPr>
          <w:rStyle w:val="Style15"/>
          <w:rFonts w:ascii="Times New Roman" w:hAnsi="Times New Roman"/>
          <w:i w:val="false"/>
          <w:iCs w:val="false"/>
          <w:color w:val="000000"/>
          <w:sz w:val="16"/>
          <w:szCs w:val="16"/>
        </w:rPr>
        <w:t>31</w:t>
      </w:r>
      <w:r>
        <w:rPr>
          <w:rFonts w:ascii="Times New Roman" w:hAnsi="Times New Roman"/>
          <w:i w:val="false"/>
          <w:iCs w:val="false"/>
          <w:color w:val="000000"/>
          <w:sz w:val="16"/>
          <w:szCs w:val="16"/>
        </w:rPr>
        <w:t xml:space="preserve"> </w:t>
      </w:r>
      <w:r>
        <w:rPr>
          <w:rStyle w:val="Style15"/>
          <w:rFonts w:ascii="Times New Roman" w:hAnsi="Times New Roman"/>
          <w:i w:val="false"/>
          <w:iCs w:val="false"/>
          <w:color w:val="000000"/>
          <w:sz w:val="16"/>
          <w:szCs w:val="16"/>
        </w:rPr>
        <w:t>июля</w:t>
      </w:r>
      <w:r>
        <w:rPr>
          <w:rFonts w:ascii="Times New Roman" w:hAnsi="Times New Roman"/>
          <w:i w:val="false"/>
          <w:iCs w:val="false"/>
          <w:color w:val="000000"/>
          <w:sz w:val="16"/>
          <w:szCs w:val="16"/>
        </w:rPr>
        <w:t xml:space="preserve"> </w:t>
      </w:r>
      <w:r>
        <w:rPr>
          <w:rStyle w:val="Style15"/>
          <w:rFonts w:ascii="Times New Roman" w:hAnsi="Times New Roman"/>
          <w:i w:val="false"/>
          <w:iCs w:val="false"/>
          <w:color w:val="000000"/>
          <w:sz w:val="16"/>
          <w:szCs w:val="16"/>
        </w:rPr>
        <w:t>2023</w:t>
      </w:r>
      <w:r>
        <w:rPr>
          <w:rFonts w:ascii="Times New Roman" w:hAnsi="Times New Roman"/>
          <w:i w:val="false"/>
          <w:iCs w:val="false"/>
          <w:color w:val="000000"/>
          <w:sz w:val="16"/>
          <w:szCs w:val="16"/>
        </w:rPr>
        <w:t>г. №</w:t>
      </w:r>
      <w:r>
        <w:rPr>
          <w:rStyle w:val="Style15"/>
          <w:rFonts w:ascii="Times New Roman" w:hAnsi="Times New Roman"/>
          <w:i w:val="false"/>
          <w:iCs w:val="false"/>
          <w:color w:val="000000"/>
          <w:sz w:val="16"/>
          <w:szCs w:val="16"/>
        </w:rPr>
        <w:t xml:space="preserve">77 </w:t>
      </w:r>
      <w:r>
        <w:rPr>
          <w:rFonts w:ascii="Times New Roman" w:hAnsi="Times New Roman"/>
          <w:i w:val="false"/>
          <w:iCs w:val="false"/>
          <w:color w:val="000000"/>
          <w:sz w:val="16"/>
          <w:szCs w:val="16"/>
        </w:rPr>
        <w:t>"Об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организациях" — Приказ № 77</w:t>
      </w:r>
    </w:p>
    <w:p>
      <w:pPr>
        <w:pStyle w:val="Normal"/>
        <w:bidi w:val="0"/>
        <w:ind w:left="0" w:right="0" w:hanging="0"/>
        <w:jc w:val="left"/>
        <w:rPr>
          <w:rFonts w:ascii="Times New Roman" w:hAnsi="Times New Roman"/>
          <w:color w:val="000000"/>
          <w:sz w:val="20"/>
          <w:szCs w:val="20"/>
        </w:rPr>
      </w:pPr>
      <w:r>
        <w:rPr/>
      </w:r>
    </w:p>
    <w:sectPr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character" w:styleId="Style14">
    <w:name w:val="Выделение жирным"/>
    <w:qFormat/>
    <w:rPr>
      <w:b/>
      <w:bCs/>
    </w:rPr>
  </w:style>
  <w:style w:type="character" w:styleId="Style15">
    <w:name w:val="Выделение"/>
    <w:qFormat/>
    <w:rPr>
      <w:i/>
      <w:iCs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21">
    <w:name w:val="Содержимое таблицы"/>
    <w:basedOn w:val="Normal"/>
    <w:qFormat/>
    <w:pPr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744</TotalTime>
  <Application>LibreOffice/7.3.4.2$Windows_X86_64 LibreOffice_project/728fec16bd5f605073805c3c9e7c4212a0120dc5</Application>
  <AppVersion>15.0000</AppVersion>
  <Pages>7</Pages>
  <Words>2347</Words>
  <Characters>17261</Characters>
  <CharactersWithSpaces>20544</CharactersWithSpaces>
  <Paragraphs>352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2024-10-28T13:36:59Z</dcterms:created>
  <dc:creator/>
  <dc:description/>
  <dc:language>ru-RU</dc:language>
  <cp:lastModifiedBy/>
  <cp:lastPrinted>2025-06-17T08:21:25Z</cp:lastPrinted>
  <dcterms:modified xsi:type="dcterms:W3CDTF">2025-06-17T08:21:29Z</dcterms:modified>
  <cp:revision>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