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08" w:type="dxa"/>
        <w:jc w:val="left"/>
        <w:tblInd w:w="50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808"/>
      </w:tblGrid>
      <w:tr>
        <w:trPr>
          <w:trHeight w:val="6180" w:hRule="atLeast"/>
        </w:trPr>
        <w:tc>
          <w:tcPr>
            <w:tcW w:w="9808" w:type="dxa"/>
            <w:tcBorders/>
          </w:tcPr>
          <w:tbl>
            <w:tblPr>
              <w:tblW w:w="10606" w:type="dxa"/>
              <w:jc w:val="left"/>
              <w:tblInd w:w="260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606"/>
            </w:tblGrid>
            <w:tr>
              <w:trPr/>
              <w:tc>
                <w:tcPr>
                  <w:tcW w:w="10606" w:type="dxa"/>
                  <w:tcBorders/>
                </w:tcPr>
                <w:tbl>
                  <w:tblPr>
                    <w:tblW w:w="8140" w:type="dxa"/>
                    <w:jc w:val="left"/>
                    <w:tblInd w:w="31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</w:tblPr>
                  <w:tblGrid>
                    <w:gridCol w:w="8140"/>
                  </w:tblGrid>
                  <w:tr>
                    <w:trPr>
                      <w:trHeight w:val="3185" w:hRule="atLeast"/>
                    </w:trPr>
                    <w:tc>
                      <w:tcPr>
                        <w:tcW w:w="8140" w:type="dxa"/>
                        <w:tcBorders/>
                      </w:tcPr>
                      <w:p>
                        <w:pPr>
                          <w:pStyle w:val="ConsPlusNonformat"/>
                          <w:ind w:hanging="0"/>
                          <w:jc w:val="both"/>
                          <w:rPr/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Начальнику управления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архитектуры и градострои-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т</w:t>
                        </w: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ельства, главному архитектору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администрации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муниципального образования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Курганинский  район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Е.В. Перкину</w:t>
                        </w:r>
                      </w:p>
                    </w:tc>
                  </w:tr>
                </w:tbl>
                <w:p>
                  <w:pPr>
                    <w:pStyle w:val="Style27"/>
                    <w:jc w:val="both"/>
                    <w:rPr>
                      <w:rFonts w:eastAsia="Times New Roman" w:cs="Times New Roman"/>
                      <w:b w:val="false"/>
                      <w:bCs/>
                      <w:i w:val="false"/>
                      <w:i w:val="false"/>
                      <w:iCs/>
                      <w:color w:val="auto"/>
                      <w:spacing w:val="2"/>
                      <w:kern w:val="0"/>
                      <w:sz w:val="28"/>
                      <w:szCs w:val="28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b w:val="false"/>
                      <w:bCs/>
                      <w:i w:val="false"/>
                      <w:iCs/>
                      <w:color w:val="auto"/>
                      <w:spacing w:val="2"/>
                      <w:kern w:val="0"/>
                      <w:sz w:val="28"/>
                      <w:szCs w:val="28"/>
                      <w:lang w:val="ru-RU" w:eastAsia="ru-RU" w:bidi="ar-SA"/>
                    </w:rPr>
                  </w:r>
                </w:p>
              </w:tc>
            </w:tr>
            <w:tr>
              <w:trPr>
                <w:trHeight w:val="619" w:hRule="atLeast"/>
              </w:trPr>
              <w:tc>
                <w:tcPr>
                  <w:tcW w:w="10606" w:type="dxa"/>
                  <w:tcBorders/>
                </w:tcPr>
                <w:p>
                  <w:pPr>
                    <w:pStyle w:val="Heading1"/>
                    <w:shd w:val="clear" w:fill="FFFFFF"/>
                    <w:ind w:hanging="0" w:left="0"/>
                    <w:jc w:val="left"/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 xml:space="preserve">                                     </w:t>
                  </w: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>Заключение</w:t>
                  </w:r>
                </w:p>
                <w:p>
                  <w:pPr>
                    <w:pStyle w:val="Heading1"/>
                    <w:shd w:val="clear" w:fill="FFFFFF"/>
                    <w:ind w:hanging="0" w:left="0"/>
                    <w:jc w:val="left"/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 xml:space="preserve">              </w:t>
                  </w: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>об оценке регулирующего воздействия</w:t>
                  </w:r>
                </w:p>
              </w:tc>
            </w:tr>
          </w:tbl>
          <w:p/>
        </w:tc>
      </w:tr>
      <w:tr>
        <w:trPr>
          <w:trHeight w:val="2700" w:hRule="atLeast"/>
        </w:trPr>
        <w:tc>
          <w:tcPr>
            <w:tcW w:w="9808" w:type="dxa"/>
            <w:tcBorders/>
          </w:tcPr>
          <w:tbl>
            <w:tblPr>
              <w:tblW w:w="8620" w:type="dxa"/>
              <w:jc w:val="left"/>
              <w:tblInd w:w="126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8620"/>
            </w:tblGrid>
            <w:tr>
              <w:trPr>
                <w:trHeight w:val="2780" w:hRule="atLeast"/>
              </w:trPr>
              <w:tc>
                <w:tcPr>
                  <w:tcW w:w="8620" w:type="dxa"/>
                  <w:tcBorders/>
                </w:tcPr>
                <w:tbl>
                  <w:tblPr>
                    <w:tblW w:w="7880" w:type="dxa"/>
                    <w:jc w:val="left"/>
                    <w:tblInd w:w="0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</w:tblPr>
                  <w:tblGrid>
                    <w:gridCol w:w="7880"/>
                  </w:tblGrid>
                  <w:tr>
                    <w:trPr/>
                    <w:tc>
                      <w:tcPr>
                        <w:tcW w:w="7880" w:type="dxa"/>
                        <w:tcBorders/>
                      </w:tcPr>
                      <w:p>
                        <w:pPr>
                          <w:pStyle w:val="Normal"/>
                          <w:jc w:val="both"/>
                          <w:rPr/>
                        </w:pPr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 xml:space="preserve">Проекта постановления администрации муниципального образования Курганинский район «Об утверждении административного регламента предоставления муниципальной услуги  </w:t>
                        </w:r>
                        <w:bookmarkStart w:id="0" w:name="_Hlk230869415"/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>«</w:t>
                        </w:r>
                        <w:bookmarkStart w:id="1" w:name="_Hlk230869415_Копия_1"/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>Выдача градостроительных планов земельных участков</w:t>
                        </w:r>
                        <w:bookmarkEnd w:id="0"/>
                        <w:bookmarkEnd w:id="1"/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>».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pStyle w:val="ConsPlusNonformat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 xml:space="preserve">Отдел инвестиций и стратегического развития администрации муниципального образования (далее - МО) Курганинский район, как уполномоченный орган по проведению оценки регулирующего воздействия (далее - ОРВ)  проектов муниципальных правовых актов (далее - МПА) администрации </w:t>
            </w: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8"/>
                <w:szCs w:val="28"/>
                <w:lang w:val="ru-RU" w:eastAsia="ru-RU" w:bidi="ar-SA"/>
              </w:rPr>
              <w:t>МО Курганинский район, рассмотрел поступивший                                                                          24 августа 2026 года проект</w:t>
            </w:r>
            <w:r>
              <w:rPr>
                <w:rStyle w:val="Style16"/>
                <w:rFonts w:eastAsia="Times New Roman" w:cs="Times New Roman" w:ascii="Times New Roman" w:hAnsi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 xml:space="preserve"> постановления администрации муниципального образования Курганинский район </w:t>
            </w:r>
            <w:r>
              <w:rPr>
                <w:rStyle w:val="Style16"/>
                <w:rFonts w:eastAsia="Times New Roman" w:cs="Times New Roman" w:ascii="Times New Roman" w:hAnsi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«Об утверждении административного регламента предоставления муниципальной услуги </w:t>
            </w:r>
            <w:r>
              <w:rPr>
                <w:rStyle w:val="Style16"/>
                <w:rFonts w:eastAsia="Times New Roman" w:cs="Times New Roman" w:ascii="Times New Roman" w:hAnsi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«</w:t>
            </w:r>
            <w:bookmarkStart w:id="2" w:name="_Hlk230869415_Копия_2"/>
            <w:r>
              <w:rPr>
                <w:rStyle w:val="Style16"/>
                <w:rFonts w:eastAsia="Times New Roman" w:cs="Times New Roman" w:ascii="Times New Roman" w:hAnsi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Выдача градостроительных планов земельных участков»</w:t>
            </w:r>
            <w:bookmarkEnd w:id="2"/>
            <w:r>
              <w:rPr>
                <w:rStyle w:val="Style16"/>
                <w:rFonts w:eastAsia="Times New Roman" w:cs="Times New Roman" w:ascii="Times New Roman" w:hAnsi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auto" w:val="clear"/>
                <w:lang w:val="ru-RU" w:eastAsia="zh-CN" w:bidi="ar-SA"/>
              </w:rPr>
              <w:t xml:space="preserve"> </w:t>
            </w:r>
            <w:r>
              <w:rPr>
                <w:rStyle w:val="Style16"/>
                <w:rFonts w:eastAsia="Times New Roman" w:cs="Times New Roman" w:ascii="Times New Roman" w:hAnsi="Times New Roman"/>
                <w:bCs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(далее - разработчик)                           и сообщает следующее.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В соответствии с Порядком </w:t>
            </w:r>
            <w:r>
              <w:rPr>
                <w:rStyle w:val="Style12"/>
                <w:rFonts w:eastAsia="Times New Roman" w:cs="Times New Roman"/>
                <w:b w:val="false"/>
                <w:bCs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проведения ОРВ проектов </w:t>
            </w:r>
            <w:r>
              <w:rPr>
                <w:rStyle w:val="Style12"/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>М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ПА</w:t>
            </w:r>
            <w:r>
              <w:rPr>
                <w:rStyle w:val="Style12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Style w:val="Style12"/>
                <w:rFonts w:eastAsia="Times New Roman" w:cs="Times New Roman"/>
                <w:b w:val="false"/>
                <w:bCs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администрации МО  </w:t>
            </w:r>
            <w:r>
              <w:rPr>
                <w:rFonts w:eastAsia="Times New Roman" w:cs="Times New Roman"/>
                <w:bCs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Курганинский район,  устанавливающих    новые          или      изменяющих ранее    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auto"/>
                <w:spacing w:val="2"/>
                <w:kern w:val="0"/>
                <w:sz w:val="28"/>
                <w:szCs w:val="28"/>
                <w:lang w:val="ru-RU" w:eastAsia="ru-RU" w:bidi="ar-SA"/>
              </w:rPr>
              <w:t>предусмотренные      МПА   обязательные    требования для       субъектов предпринимательской и    иной     экономической      деятельности,        обязанности для        субъектов           инвестиционной деятельности,           утверждённым             постановлением       администрации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auto"/>
                <w:spacing w:val="2"/>
                <w:kern w:val="0"/>
                <w:sz w:val="28"/>
                <w:szCs w:val="28"/>
                <w:lang w:val="ru-RU" w:eastAsia="ru-RU" w:bidi="ar-SA"/>
              </w:rPr>
              <w:t xml:space="preserve">МО         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000000"/>
                <w:spacing w:val="2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Курганинский            район         от      10 декабря 2025   года №   1202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auto"/>
                <w:spacing w:val="2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000000"/>
                <w:spacing w:val="2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«Об    утверждении      Порядка проведения       оценки       регулирующего воздействия  проектов муниципальных правовых  актов   муниципального образования  Курганинский район, устанавливающих новые или  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деятельности» (далее -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auto"/>
                <w:spacing w:val="2"/>
                <w:kern w:val="0"/>
                <w:sz w:val="28"/>
                <w:szCs w:val="28"/>
                <w:lang w:val="ru-RU" w:eastAsia="ru-RU" w:bidi="ar-SA"/>
              </w:rPr>
              <w:t xml:space="preserve"> Порядок) проект подлежит проведению ОРВ.</w:t>
            </w:r>
          </w:p>
        </w:tc>
      </w:tr>
      <w:tr>
        <w:trPr>
          <w:trHeight w:val="11939" w:hRule="atLeast"/>
        </w:trPr>
        <w:tc>
          <w:tcPr>
            <w:tcW w:w="9808" w:type="dxa"/>
            <w:tcBorders/>
          </w:tcPr>
          <w:p>
            <w:pPr>
              <w:pStyle w:val="Normal"/>
              <w:tabs>
                <w:tab w:val="clear" w:pos="709"/>
                <w:tab w:val="left" w:pos="732" w:leader="none"/>
              </w:tabs>
              <w:spacing w:lineRule="auto" w:line="240"/>
              <w:ind w:firstLine="743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  результатам   рассмотрения   установлено, что при подготовке проекта требования Порядка разработчиком соблюдены.</w:t>
            </w:r>
          </w:p>
          <w:p>
            <w:pPr>
              <w:pStyle w:val="Normal"/>
              <w:tabs>
                <w:tab w:val="clear" w:pos="709"/>
                <w:tab w:val="left" w:pos="732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  <w:shd w:fill="auto" w:val="clear"/>
              </w:rPr>
              <w:t>Проект на</w:t>
            </w:r>
            <w:r>
              <w:rPr>
                <w:sz w:val="28"/>
                <w:szCs w:val="28"/>
              </w:rPr>
              <w:t xml:space="preserve">правлен разработчиком для проведения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ОРВ</w:t>
            </w:r>
            <w:r>
              <w:rPr>
                <w:sz w:val="28"/>
                <w:szCs w:val="28"/>
              </w:rPr>
              <w:t xml:space="preserve"> впервые.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  <w:shd w:fill="auto" w:val="clear"/>
              </w:rPr>
              <w:t>Проведён</w:t>
            </w:r>
            <w:r>
              <w:rPr>
                <w:sz w:val="28"/>
                <w:szCs w:val="28"/>
              </w:rPr>
              <w:t xml:space="preserve"> анализ результатов исследований, проводимых регулирующим органом с учётом установления полноты рассмотрения регулирующим органом всех возможных вариантов правового регулирования выявленной проблемы,               а также эффективности способов решения проблемы в сравнении                                 с действующим на момент проведения процедуры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ОРВ</w:t>
            </w:r>
            <w:r>
              <w:rPr>
                <w:sz w:val="28"/>
                <w:szCs w:val="28"/>
              </w:rPr>
              <w:t xml:space="preserve"> правовым регулированием рассматриваемой сферы общественных отношений.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Разработчиком предложен один вариант правового регулирования - принятие </w:t>
            </w:r>
            <w:r>
              <w:rPr>
                <w:rStyle w:val="Style16"/>
                <w:sz w:val="28"/>
                <w:szCs w:val="28"/>
              </w:rPr>
              <w:t xml:space="preserve">постановления администрации муниципального образования Курганинский район «Об утверждении административного регламента предоставления муниципальной услуги  </w:t>
            </w:r>
            <w:r>
              <w:rPr>
                <w:rStyle w:val="Style16"/>
                <w:rFonts w:eastAsia="Times New Roman" w:cs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«</w:t>
            </w:r>
            <w:bookmarkStart w:id="3" w:name="_Hlk230869415_Копия_3"/>
            <w:r>
              <w:rPr>
                <w:rStyle w:val="Style16"/>
                <w:rFonts w:eastAsia="Times New Roman" w:cs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Выдача градостроительных планов земельных участков</w:t>
            </w:r>
            <w:bookmarkEnd w:id="3"/>
            <w:r>
              <w:rPr>
                <w:rStyle w:val="Style16"/>
                <w:sz w:val="28"/>
                <w:szCs w:val="28"/>
              </w:rPr>
              <w:t>».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качестве альтернативы рассмотрен вариант непринятия МПА.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    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>Проведено сравнение указанных вариантов правового регулирования.        Выбор варианта правового регулирования сделан исходя из оценки возможности достижения заявленной цели регулирования и оценки рисков нас</w:t>
            </w: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>тупления неблагоприятных последствий.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b w:val="false"/>
                <w:bCs w:val="false"/>
                <w:i w:val="false"/>
                <w:i w:val="false"/>
                <w:iCs w:val="false"/>
                <w:sz w:val="28"/>
                <w:szCs w:val="28"/>
                <w:shd w:fill="FFFFFF" w:val="clear"/>
              </w:rPr>
            </w:pP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         </w:t>
            </w: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>Проведена оценка эффективности предложенных регулирующим органом вариантов правового регулирования, основанных на сведениях, содержащихся                    в соответствующих разделах сводного отчёта и установлено следующее: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     </w:t>
            </w: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- проблема, </w:t>
            </w:r>
            <w:r>
              <w:rPr>
                <w:sz w:val="28"/>
                <w:szCs w:val="28"/>
              </w:rPr>
              <w:t>на решение которой направлено правовое регулирование, сформулирована точно;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- определены потенциальные адресаты предполагаемого правового регулирования. Ф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изические лица, в том числе зарегистрированные в качестве индивидуальных предпринимателей, юридические лица                                     или их уполномоченные представители.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Количественная оценка участников:                                 в 2025  году за     предоставлением     муниципальной     услуги    обратилось    3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4 заяви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теля.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- цель предлагаемого правового регулирования разработчиком определена </w:t>
            </w:r>
            <w:r>
              <w:rPr>
                <w:sz w:val="28"/>
                <w:szCs w:val="28"/>
                <w:shd w:fill="auto" w:val="clear"/>
              </w:rPr>
              <w:t>объ</w:t>
            </w:r>
            <w:r>
              <w:rPr>
                <w:sz w:val="28"/>
                <w:szCs w:val="28"/>
              </w:rPr>
              <w:t>ективно,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- практическая    реализуемость     заявленных     целей     предполагаемого правового регулирования будет достигнута;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-  сроки достижения заявленной цели -</w:t>
            </w:r>
            <w:r>
              <w:rPr>
                <w:sz w:val="28"/>
                <w:szCs w:val="28"/>
                <w:shd w:fill="auto" w:val="clear"/>
              </w:rPr>
              <w:t xml:space="preserve"> с даты утверж</w:t>
            </w:r>
            <w:r>
              <w:rPr>
                <w:sz w:val="28"/>
                <w:szCs w:val="28"/>
              </w:rPr>
              <w:t>дения и вступления в    силу  рассматриваемого    проекта   МПА</w:t>
            </w:r>
            <w:r>
              <w:rPr>
                <w:rStyle w:val="111"/>
                <w:sz w:val="28"/>
                <w:szCs w:val="28"/>
              </w:rPr>
              <w:t>, в мониторинге достижения цели</w:t>
            </w:r>
          </w:p>
          <w:p>
            <w:pPr>
              <w:pStyle w:val="Normal"/>
              <w:spacing w:lineRule="auto" w:line="240"/>
              <w:ind w:hanging="0" w:left="0" w:right="0"/>
              <w:jc w:val="center"/>
              <w:rPr>
                <w:rStyle w:val="111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 w:left="0" w:right="0"/>
              <w:jc w:val="center"/>
              <w:rPr/>
            </w:pPr>
            <w:r>
              <w:rPr>
                <w:rStyle w:val="111"/>
                <w:sz w:val="28"/>
                <w:szCs w:val="28"/>
              </w:rPr>
              <w:t>3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rStyle w:val="111"/>
                <w:sz w:val="28"/>
                <w:szCs w:val="28"/>
              </w:rPr>
              <w:t>не нуждается</w:t>
            </w:r>
            <w:r>
              <w:rPr>
                <w:sz w:val="28"/>
                <w:szCs w:val="28"/>
              </w:rPr>
              <w:t>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>- оценка    дополнительных   расходов     и     доходов   потенциальных   лиц, участвующих  в   правоотношениях,   подлежащих   правовому  регулированию, и расходов местного бюджета, связанных с введением предлагаемого правового регулирования определена корректно;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- по мнению разработчика при принятии предлагаемого правового регулирования неблагоприятные последствия не наступят.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Выявленная проблема может быть решена исключительно посредством п</w:t>
            </w:r>
            <w:r>
              <w:rPr>
                <w:sz w:val="28"/>
                <w:szCs w:val="28"/>
                <w:shd w:fill="FFFFFF" w:val="clear"/>
              </w:rPr>
              <w:t>ринятия предлагаемого правового регулирования.</w:t>
            </w:r>
          </w:p>
          <w:p>
            <w:pPr>
              <w:pStyle w:val="Normal"/>
              <w:shd w:val="clear" w:fill="FFFFFF"/>
              <w:spacing w:lineRule="auto" w:line="240"/>
              <w:ind w:firstLine="743" w:left="0" w:right="0"/>
              <w:jc w:val="both"/>
              <w:rPr>
                <w:sz w:val="28"/>
                <w:szCs w:val="28"/>
                <w:shd w:fill="FFFFFF" w:val="clear"/>
              </w:rPr>
            </w:pPr>
            <w:r>
              <w:rPr>
                <w:sz w:val="28"/>
                <w:szCs w:val="28"/>
                <w:shd w:fill="FFFFFF" w:val="clear"/>
              </w:rPr>
              <w:t xml:space="preserve">    </w:t>
            </w:r>
            <w:r>
              <w:rPr>
                <w:sz w:val="28"/>
                <w:szCs w:val="28"/>
                <w:shd w:fill="FFFFFF" w:val="clear"/>
              </w:rPr>
              <w:t>В соответствии с   Порядком установлено следующее:</w:t>
            </w:r>
          </w:p>
          <w:p>
            <w:pPr>
              <w:pStyle w:val="Normal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1. Потенциальные    группы    участников    общественных     отношений, интересы  которых    могут   быть   затронуты   правовым регулированием в части прав   и   обязанностей    субъектов    предпринимательской и инвестицион</w:t>
            </w:r>
            <w:r>
              <w:rPr>
                <w:sz w:val="28"/>
                <w:szCs w:val="28"/>
                <w:shd w:fill="auto" w:val="clear"/>
              </w:rPr>
              <w:t>ной деятельнос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ти </w:t>
            </w:r>
            <w:r>
              <w:rPr>
                <w:sz w:val="28"/>
                <w:szCs w:val="28"/>
                <w:shd w:fill="auto" w:val="clear"/>
              </w:rPr>
              <w:t>-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Style w:val="FontStyle21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</w:t>
            </w:r>
            <w:r>
              <w:rPr>
                <w:rStyle w:val="FontStyle21"/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изические лица,                 в том числе зарегистрированные в качестве индивидуальных предпринимателей, юридические лица или их уполномоченные представители.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Определить точное количество не представляется возможным  в связи                       с заявительным характером предлагаемого правового регулирования.  В 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2025  году за     предоставлением     муниципальной     услуги    обратилось                        34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заявителя.</w:t>
            </w:r>
          </w:p>
          <w:p>
            <w:pPr>
              <w:pStyle w:val="Normal"/>
              <w:ind w:firstLine="743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2.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П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shd w:fill="auto" w:val="clear"/>
              </w:rPr>
              <w:t>блема, н</w:t>
            </w:r>
            <w:r>
              <w:rPr>
                <w:sz w:val="28"/>
                <w:szCs w:val="28"/>
              </w:rPr>
              <w:t>а решение которой направлено правовое регулирование:</w:t>
            </w:r>
          </w:p>
          <w:tbl>
            <w:tblPr>
              <w:tblW w:w="968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680"/>
            </w:tblGrid>
            <w:tr>
              <w:trPr>
                <w:trHeight w:val="5100" w:hRule="atLeast"/>
              </w:trPr>
              <w:tc>
                <w:tcPr>
                  <w:tcW w:w="9680" w:type="dxa"/>
                  <w:tcBorders/>
                </w:tcPr>
                <w:p>
                  <w:pPr>
                    <w:pStyle w:val="ConsPlusNonformat"/>
                    <w:ind w:firstLine="709"/>
                    <w:jc w:val="both"/>
                    <w:rPr/>
                  </w:pPr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kern w:val="0"/>
                      <w:sz w:val="28"/>
                      <w:szCs w:val="28"/>
                      <w:shd w:fill="auto" w:val="clear"/>
                      <w:lang w:val="ru-RU" w:eastAsia="ru-RU" w:bidi="ar-SA"/>
                    </w:rPr>
                    <w:t>нецелесообразность</w:t>
                  </w:r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 xml:space="preserve"> (неудобство) использования действующего административного регламента по предоставлению администрацией муниципального образования Курганинский район (далее – Администрация) </w:t>
                  </w:r>
                  <w:bookmarkStart w:id="4" w:name="_Hlk230867300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>муниципальной услуги</w:t>
                  </w:r>
                  <w:bookmarkEnd w:id="4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 xml:space="preserve"> в соответствии с постановлением администрации муниципального образования Курганинский район от 29 января 2018 г. № 68 «Об утверждении административного регламента по предоставлению муниципальной услуги «Выдача градостроительных планов земельных участков» в действующей редакции (далее – </w:t>
                  </w:r>
                  <w:bookmarkStart w:id="5" w:name="_Hlk230870992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>Регламент</w:t>
                  </w:r>
                  <w:bookmarkEnd w:id="5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>), в связи                             с несоответствием его структуры и отдельных положений требованиям федерального законодательства, а именно статьи 57.3 Градостроительного кодекса Российской Федерации, постановления Правительства Российской Федерации от 20 июля 2021 г. № 1228 «Об утверждении Правил разработки                  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            </w:r>
                </w:p>
                <w:p>
                  <w:pPr>
                    <w:pStyle w:val="Normal"/>
                    <w:ind w:firstLine="743" w:left="0" w:right="0"/>
                    <w:jc w:val="both"/>
                    <w:rPr/>
                  </w:pPr>
                  <w:r>
                    <w:rPr>
                      <w:rStyle w:val="Style16"/>
                      <w:sz w:val="28"/>
                      <w:szCs w:val="28"/>
                    </w:rPr>
                    <w:t xml:space="preserve">  </w:t>
                  </w:r>
                  <w:r>
                    <w:rPr>
                      <w:rStyle w:val="Style16"/>
                      <w:sz w:val="28"/>
                      <w:szCs w:val="28"/>
                    </w:rPr>
                    <w:t>Указанная проблема может быть решена исключительно посредством принятия предложенного документа.</w:t>
                  </w:r>
                </w:p>
                <w:p>
                  <w:pPr>
                    <w:pStyle w:val="Normal"/>
                    <w:ind w:hanging="0" w:left="0" w:right="0"/>
                    <w:jc w:val="both"/>
                    <w:rPr/>
                  </w:pPr>
                  <w:r>
                    <w:rPr>
                      <w:rStyle w:val="Style16"/>
                      <w:sz w:val="28"/>
                      <w:szCs w:val="28"/>
                    </w:rPr>
                    <w:t xml:space="preserve">       </w:t>
                  </w:r>
                  <w:r>
                    <w:rPr>
                      <w:rStyle w:val="Style16"/>
                      <w:sz w:val="28"/>
                      <w:szCs w:val="28"/>
                    </w:rPr>
                    <w:t xml:space="preserve">3. </w:t>
                  </w:r>
                  <w:r>
                    <w:rPr>
                      <w:rStyle w:val="Style16"/>
                      <w:rFonts w:eastAsia="Times New Roman" w:cs="Times New Roman"/>
                      <w:color w:val="auto"/>
                      <w:kern w:val="0"/>
                      <w:sz w:val="28"/>
                      <w:szCs w:val="28"/>
                      <w:lang w:val="ru-RU" w:eastAsia="ru-RU" w:bidi="ar-SA"/>
                    </w:rPr>
                    <w:t>П</w:t>
                  </w:r>
                  <w:r>
                    <w:rPr>
                      <w:rStyle w:val="Style16"/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shd w:fill="auto" w:val="clear"/>
                      <w:lang w:val="ru-RU" w:eastAsia="ru-RU" w:bidi="ar-SA"/>
                    </w:rPr>
                    <w:t xml:space="preserve">роект   </w:t>
                  </w:r>
                  <w:r>
                    <w:rPr>
                      <w:rStyle w:val="Style16"/>
                      <w:rFonts w:eastAsia="Times New Roman" w:cs="Times New Roman"/>
                      <w:color w:val="auto"/>
                      <w:kern w:val="0"/>
                      <w:sz w:val="28"/>
                      <w:szCs w:val="28"/>
                      <w:lang w:val="ru-RU" w:eastAsia="ru-RU" w:bidi="ar-SA"/>
                    </w:rPr>
                    <w:t xml:space="preserve">разработан в  целях  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 xml:space="preserve">предоставления Администрацией муниципальной услуги (далее – 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themeColor="text1"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>Услуга)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 xml:space="preserve"> «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kern w:val="0"/>
                      <w:sz w:val="28"/>
                      <w:szCs w:val="28"/>
                      <w:shd w:fill="FFFFFF" w:val="clear"/>
                      <w:lang w:val="ru-RU" w:eastAsia="zh-CN" w:bidi="ar-SA"/>
                    </w:rPr>
                    <w:t>Выдача градостроительных планов земельных участков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 xml:space="preserve">» </w:t>
                  </w:r>
                  <w:r>
                    <w:rPr>
                      <w:rStyle w:val="111"/>
                      <w:rFonts w:eastAsia="Times New Roman" w:cs="Times New Roman"/>
                      <w:b w:val="false"/>
                      <w:bCs/>
                      <w:i w:val="false"/>
                      <w:iCs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>в соответствии с требованиями действующего законодательства.</w:t>
                  </w:r>
                </w:p>
                <w:p>
                  <w:pPr>
                    <w:pStyle w:val="Normal"/>
                    <w:ind w:firstLine="743" w:left="0" w:right="0"/>
                    <w:jc w:val="center"/>
                    <w:rPr/>
                  </w:pPr>
                  <w:r>
                    <w:rPr>
                      <w:rStyle w:val="Style16"/>
                      <w:sz w:val="28"/>
                      <w:szCs w:val="28"/>
                    </w:rPr>
                    <w:t>4</w:t>
                  </w:r>
                </w:p>
                <w:p>
                  <w:pPr>
                    <w:pStyle w:val="Normal"/>
                    <w:ind w:firstLine="743" w:left="0" w:right="0"/>
                    <w:jc w:val="both"/>
                    <w:rPr/>
                  </w:pPr>
                  <w:r>
                    <w:rPr>
                      <w:rStyle w:val="Style16"/>
                      <w:sz w:val="28"/>
                      <w:szCs w:val="28"/>
                    </w:rPr>
                    <w:t>Вышеуказанные цели соответствуют принципам правового регулирования, установленным законодательством Российской Федерации               и     Краснодарского края.</w:t>
                  </w:r>
                </w:p>
              </w:tc>
            </w:tr>
          </w:tbl>
          <w:p>
            <w:pPr>
              <w:pStyle w:val="Normal"/>
              <w:ind w:firstLine="743" w:left="0" w:right="0"/>
              <w:jc w:val="both"/>
              <w:rPr/>
            </w:pPr>
            <w:bookmarkStart w:id="6" w:name="_Hlk1212346144"/>
            <w:bookmarkEnd w:id="6"/>
            <w:r>
              <w:rPr>
                <w:rStyle w:val="Style16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4. Проект МПА содержит положения, устанавливающие новые обязательные    требования     для      субъектов     предпринимательской и иной</w:t>
            </w:r>
          </w:p>
          <w:p>
            <w:pPr>
              <w:pStyle w:val="Normal"/>
              <w:ind w:hanging="0" w:left="0" w:right="0"/>
              <w:jc w:val="both"/>
              <w:rPr/>
            </w:pPr>
            <w:r>
              <w:rPr>
                <w:rStyle w:val="Style16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экономич</w:t>
            </w:r>
            <w:r>
              <w:rPr>
                <w:rStyle w:val="Style16"/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еской деятельности, обязанности для субъектов инвестиционной деятельности, п</w:t>
            </w:r>
            <w:r>
              <w:rPr>
                <w:rStyle w:val="Style16"/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роектом МПА </w:t>
            </w:r>
            <w:r>
              <w:rPr>
                <w:rStyle w:val="Style16"/>
                <w:rFonts w:eastAsia="Times New Roman" w:cs="Times New Roman"/>
                <w:bCs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п</w:t>
            </w:r>
            <w:r>
              <w:rPr>
                <w:rStyle w:val="Style16"/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редусмотрена новая форма административного регламента предоставления муниципальной услуги.</w:t>
            </w:r>
          </w:p>
          <w:p>
            <w:pPr>
              <w:pStyle w:val="Normal"/>
              <w:tabs>
                <w:tab w:val="clear" w:pos="709"/>
                <w:tab w:val="left" w:pos="993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>5. Риски  недостижения   це</w:t>
            </w:r>
            <w:r>
              <w:rPr>
                <w:sz w:val="28"/>
                <w:szCs w:val="28"/>
                <w:shd w:fill="FFFFFF" w:val="clear"/>
              </w:rPr>
              <w:t>лей     правового регу</w:t>
            </w:r>
            <w:r>
              <w:rPr>
                <w:sz w:val="28"/>
                <w:szCs w:val="28"/>
              </w:rPr>
              <w:t xml:space="preserve">лирования, а 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также</w:t>
            </w:r>
            <w:r>
              <w:rPr>
                <w:sz w:val="28"/>
                <w:szCs w:val="28"/>
              </w:rPr>
              <w:t xml:space="preserve">        возможные         негативные       последствия от введения правового регулирования для экономического развития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МО</w:t>
            </w:r>
            <w:r>
              <w:rPr>
                <w:sz w:val="28"/>
                <w:szCs w:val="28"/>
              </w:rPr>
              <w:t xml:space="preserve"> Курганинский район </w:t>
            </w:r>
            <w:r>
              <w:rPr>
                <w:rFonts w:cs="Times New Roman CYR" w:ascii="Times New Roman CYR" w:hAnsi="Times New Roman CYR"/>
                <w:color w:val="00000A"/>
                <w:sz w:val="28"/>
                <w:szCs w:val="28"/>
              </w:rPr>
              <w:t>отсутствуют.</w:t>
            </w:r>
          </w:p>
          <w:p>
            <w:pPr>
              <w:pStyle w:val="Normal"/>
              <w:tabs>
                <w:tab w:val="clear" w:pos="709"/>
                <w:tab w:val="left" w:pos="993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rFonts w:cs="Times New Roman CYR" w:ascii="Times New Roman CYR" w:hAnsi="Times New Roman CYR"/>
                <w:color w:val="00000A"/>
                <w:sz w:val="28"/>
                <w:szCs w:val="28"/>
              </w:rPr>
              <w:t xml:space="preserve">6. </w:t>
            </w:r>
            <w:r>
              <w:rPr>
                <w:rFonts w:eastAsia="DejaVu Sans" w:cs="Times New Roman CYR" w:ascii="Times New Roman CYR" w:hAnsi="Times New Roman CYR"/>
                <w:color w:val="00000A"/>
                <w:sz w:val="28"/>
                <w:szCs w:val="28"/>
              </w:rPr>
              <w:t>Дополнительные расходы местного бюджета (бюджета  муниципального образования Курганинский район), связанные с введением предлагаемого правового регулирования, не предполагаются.</w:t>
            </w:r>
          </w:p>
          <w:p>
            <w:pPr>
              <w:pStyle w:val="Normal"/>
              <w:ind w:firstLine="709"/>
              <w:jc w:val="both"/>
              <w:rPr>
                <w:shd w:fill="auto" w:val="clear"/>
              </w:rPr>
            </w:pPr>
            <w:r>
              <w:rPr>
                <w:rFonts w:cs="Times New Roman"/>
                <w:sz w:val="28"/>
                <w:szCs w:val="28"/>
                <w:shd w:fill="auto" w:val="clear"/>
              </w:rPr>
              <w:t>Дополнительные расходы потенциальных адресатов предлагаемого правового регулирования, связанные с введением предлагаемого регулирования, предполагаются</w:t>
            </w:r>
            <w:r>
              <w:rPr>
                <w:rFonts w:cs="Times New Roman"/>
                <w:color w:themeColor="text1" w:val="000000"/>
                <w:sz w:val="28"/>
                <w:szCs w:val="28"/>
                <w:shd w:fill="auto" w:val="clear"/>
              </w:rPr>
              <w:t xml:space="preserve"> в виде информационных издержек, связанных с трудозатратами на предоставление заявления о предоставлении муниципальной услуги и документов в расчете на одного заявителя 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в</w:t>
            </w:r>
            <w:r>
              <w:rPr>
                <w:rFonts w:cs="Times New Roman"/>
                <w:color w:themeColor="text1" w:val="000000"/>
                <w:sz w:val="28"/>
                <w:szCs w:val="28"/>
                <w:shd w:fill="auto" w:val="clear"/>
              </w:rPr>
              <w:t xml:space="preserve"> размере 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примерн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о </w:t>
            </w:r>
            <w:r>
              <w:rPr>
                <w:rStyle w:val="111"/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2010,23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 руб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. или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Style w:val="111"/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68347,82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р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уб. в расчете на 34 заявителей.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В соответствии с Методикой оценки стандартных издержек субъектов предпринимательской и иной экономической деятельности, возникающих                   в связи с исполнением требований регулирования, утвержденной приказом Минэкономразвития России от 1 февраля 2024 г. № 54, информационные                 издержки регулирования включают в себя затраты на подготовку, сбор                         и представление информации (документов, сведений) в соответствии                           с требованиями проекта.</w:t>
            </w:r>
          </w:p>
          <w:p>
            <w:pPr>
              <w:pStyle w:val="ConsPlusNonformat"/>
              <w:ind w:firstLine="709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1) Расчет издержек на подготовку и представление заявления                             и документов: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название требования: временные издержки на представление заявления                и документов;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тип требования: предоставление информации;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раздел требования: информационное;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действия: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написание любого документа низкого уровня сложности (менее 5 стр. печатного текста) - 1 чел./часов.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копирование документов – 1 чел./часов.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подача заявления – 1 чел./час.</w:t>
            </w:r>
          </w:p>
          <w:p>
            <w:pPr>
              <w:pStyle w:val="Normal"/>
              <w:shd w:val="clear" w:color="auto" w:fill="FFFFFF"/>
              <w:suppressAutoHyphens w:val="true"/>
              <w:spacing w:lineRule="auto" w:line="240" w:before="0" w:after="0"/>
              <w:ind w:firstLine="709"/>
              <w:jc w:val="both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Среднемесячная заработная плата по Краснодарскому краю за 2025 г.: 80518 руб.</w:t>
            </w:r>
          </w:p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40" w:before="0" w:after="0"/>
              <w:ind w:firstLine="709"/>
              <w:jc w:val="both"/>
              <w:rPr/>
            </w:pPr>
            <w:r>
              <w:rPr>
                <w:rStyle w:val="111"/>
                <w:rFonts w:eastAsia="Times New Roman" w:cs="Times New Roman"/>
                <w:bCs/>
                <w:sz w:val="28"/>
                <w:szCs w:val="28"/>
                <w:shd w:fill="auto" w:val="clear"/>
              </w:rPr>
              <w:t>Средняя стоимость часа работы: 489,05 руб.</w:t>
            </w:r>
          </w:p>
          <w:p>
            <w:pPr>
              <w:pStyle w:val="Normal"/>
              <w:shd w:val="clear" w:color="auto" w:fill="FFFFFF"/>
              <w:suppressAutoHyphens w:val="true"/>
              <w:spacing w:lineRule="auto" w:line="240" w:before="0" w:after="0"/>
              <w:ind w:firstLine="709"/>
              <w:jc w:val="both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Коэффициент налоговых отчислений и иных обязательных платежей, связанных с оплатой труда штатных работнико</w:t>
            </w:r>
            <w:r>
              <w:rPr>
                <w:rFonts w:cs="Times New Roman"/>
                <w:bCs/>
                <w:color w:val="000000"/>
                <w:sz w:val="28"/>
                <w:szCs w:val="28"/>
                <w:shd w:fill="auto" w:val="clear"/>
              </w:rPr>
              <w:t>в: 1,302;</w:t>
            </w:r>
          </w:p>
          <w:p>
            <w:pPr>
              <w:pStyle w:val="Normal"/>
              <w:spacing w:lineRule="auto" w:line="240" w:before="0" w:after="0"/>
              <w:ind w:firstLine="709"/>
              <w:jc w:val="center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5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частота представления: 1 ед.;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  <w:shd w:fill="auto" w:val="clear"/>
              </w:rPr>
              <w:t xml:space="preserve">расчет стоимости требования: (1 чел./час+1 чел./час+1 чел./час.)*489,05 руб.*1,302=1910,23 руб </w:t>
            </w:r>
            <w:r>
              <w:rPr>
                <w:rFonts w:cs="Times New Roman"/>
                <w:bCs/>
                <w:color w:val="000000"/>
                <w:sz w:val="28"/>
                <w:szCs w:val="28"/>
              </w:rPr>
              <w:t xml:space="preserve"> в расчете на одного потенциального адресата.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Стоимость требования в расч</w:t>
            </w: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>ете  на  группу потенциальных адресатов: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>Масштаб субъектов</w:t>
            </w:r>
            <w:r>
              <w:rPr>
                <w:rFonts w:cs="Times New Roman"/>
                <w:color w:val="000000"/>
                <w:sz w:val="28"/>
                <w:szCs w:val="28"/>
              </w:rPr>
              <w:t>:</w:t>
            </w: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 xml:space="preserve"> 34 ед.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1910,23 руб.*34 ед.=64947,82 руб. в расчете н</w:t>
            </w: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>а 34 по</w:t>
            </w:r>
            <w:r>
              <w:rPr>
                <w:rFonts w:cs="Times New Roman"/>
                <w:color w:val="000000"/>
                <w:sz w:val="28"/>
                <w:szCs w:val="28"/>
              </w:rPr>
              <w:t>тенциальных адресатов.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2) Расчет издержек на приобретение расходных материалов: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название требования: издержки, связанные с приобретением расходных материалов для представления заявлений и документов;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тип требования: издержки, связанные с приобретением;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раздел требования: информационное;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cs="Times New Roman"/>
                <w:color w:val="000000"/>
                <w:sz w:val="28"/>
                <w:szCs w:val="28"/>
              </w:rPr>
              <w:t>список приобретений: расходные материалы и канцелярские товары -                100 руб.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частота приобретения: 1 ед.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Стоимость требования в расчете на одного потенциального адресата:              100 руб.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Стоимость требования в расчете на</w:t>
              <w:tab/>
              <w:t>группу потенциальных адресатов: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масштаб субъектов: 34 ед.;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100 руб.*34 ед.=3400 рублей в расчете на 34 потенциальных адресата.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3) Общий размер информационных издержек на соблюдение требований, предусмотренных проектов в расчете на 1 потенциального адресата: 1910,23 руб.+100 руб. =2010,23 руб.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Общий размер информационных издержек на соблюдение требований, предусмотренных проектов в расчете на группу потенциальных адресатов: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масштаб субъектов: 34 ед.;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ab/>
              <w:t>2010,23 руб.*34 ед=68347,82 руб. в расчете на 34 потенциальных адресата.</w:t>
            </w:r>
          </w:p>
          <w:p>
            <w:pPr>
              <w:pStyle w:val="Normal"/>
              <w:tabs>
                <w:tab w:val="clear" w:pos="709"/>
                <w:tab w:val="left" w:pos="993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7. В соответствии с Порядком уполномоченный орган провел публичные консультации по проекту в период </w:t>
            </w:r>
            <w:r>
              <w:rPr>
                <w:rFonts w:eastAsia="Times New Roman" w:cs="Times New Roman"/>
                <w:sz w:val="28"/>
                <w:szCs w:val="28"/>
              </w:rPr>
              <w:t>со 24 августа по 4 сентября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</w:rPr>
              <w:t>2026 года.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8. Информация о проводимых публичных консультациях была размещена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официальном сайте администрации МО Курганинский район                            </w:t>
            </w:r>
            <w:hyperlink r:id="rId2">
              <w:r>
                <w:rPr>
                  <w:rStyle w:val="Hyperlink"/>
                  <w:color w:val="000000"/>
                  <w:sz w:val="28"/>
                  <w:szCs w:val="28"/>
                  <w:u w:val="none"/>
                </w:rPr>
                <w:t xml:space="preserve">www: </w:t>
              </w:r>
              <w:r>
                <w:rPr>
                  <w:rStyle w:val="Hyperlink"/>
                  <w:color w:val="000000"/>
                  <w:sz w:val="28"/>
                  <w:szCs w:val="28"/>
                  <w:u w:val="none"/>
                  <w:lang w:val="en-US"/>
                </w:rPr>
                <w:t>admkurganinsk</w:t>
              </w:r>
              <w:r>
                <w:rPr>
                  <w:rStyle w:val="Hyperlink"/>
                  <w:color w:val="000000"/>
                  <w:sz w:val="28"/>
                  <w:szCs w:val="28"/>
                  <w:u w:val="none"/>
                </w:rPr>
                <w:t>.ru</w:t>
              </w:r>
            </w:hyperlink>
            <w:r>
              <w:rPr>
                <w:color w:val="000000"/>
                <w:sz w:val="28"/>
                <w:szCs w:val="28"/>
                <w:u w:val="none"/>
              </w:rPr>
              <w:t>.</w:t>
            </w:r>
          </w:p>
          <w:p>
            <w:pPr>
              <w:pStyle w:val="Normal"/>
              <w:tabs>
                <w:tab w:val="clear" w:pos="709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  <w:shd w:fill="auto" w:val="clear"/>
              </w:rPr>
              <w:t xml:space="preserve">       </w:t>
            </w:r>
            <w:r>
              <w:rPr>
                <w:sz w:val="28"/>
                <w:szCs w:val="28"/>
                <w:shd w:fill="auto" w:val="clear"/>
              </w:rPr>
              <w:t xml:space="preserve">9. В период     проведения        публичных    консультаций замечаний                 </w:t>
            </w:r>
            <w:r>
              <w:rPr>
                <w:sz w:val="28"/>
                <w:szCs w:val="28"/>
              </w:rPr>
              <w:t xml:space="preserve">и предложений от участников публичных консультаций не поступило. Проект МПА направлялся в адрес: </w:t>
            </w:r>
            <w:r>
              <w:rPr>
                <w:rStyle w:val="0pt"/>
                <w:rFonts w:eastAsia="Calibri"/>
                <w:sz w:val="28"/>
                <w:szCs w:val="28"/>
              </w:rPr>
              <w:t>руководителя филиала союза «Торгово-промышленная палата Краснодарского края» в Лабинском районе</w:t>
            </w:r>
            <w:r>
              <w:rPr>
                <w:sz w:val="28"/>
                <w:szCs w:val="28"/>
              </w:rPr>
              <w:t xml:space="preserve"> Морговского Ю.В., общественного представителя в МО Курганинский      район       Уполномоченного     по       защите прав предпринимателей в Краснодарском крае   Буракова В.В.,  ИП, Председателя Совета депутатов Курганинского городского поселения Курганинского района Плетнева Л.Е., ИП Кудрявцевой Е.А., ИП Разина В.Ю., ИП Липового А.В., с которыми   заключены   соглашения    о взаимодействии при проведении ОРВ.</w:t>
            </w:r>
          </w:p>
          <w:p>
            <w:pPr>
              <w:pStyle w:val="Normal"/>
              <w:tabs>
                <w:tab w:val="clear" w:pos="709"/>
                <w:tab w:val="left" w:pos="5387" w:leader="none"/>
              </w:tabs>
              <w:spacing w:lineRule="auto" w:lin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tabs>
                <w:tab w:val="clear" w:pos="709"/>
                <w:tab w:val="left" w:pos="5387" w:leader="none"/>
              </w:tabs>
              <w:spacing w:lineRule="auto" w:line="240"/>
              <w:jc w:val="center"/>
              <w:rPr/>
            </w:pPr>
            <w:r>
              <w:rPr>
                <w:sz w:val="28"/>
                <w:szCs w:val="28"/>
              </w:rPr>
              <w:t>6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10.  По результатам оценки регулирующего воздействия сделаны выводы:            в проекте МПА отсутствуют положения, вводящие избыточные    административные      обязанности,     запреты  и     ограничения                              для      </w:t>
            </w:r>
            <w:r>
              <w:rPr>
                <w:rFonts w:cs="Times New Roman"/>
                <w:i w:val="false"/>
                <w:iCs w:val="false"/>
                <w:sz w:val="28"/>
                <w:szCs w:val="28"/>
              </w:rPr>
              <w:t xml:space="preserve">субъектов         </w:t>
            </w:r>
            <w:r>
              <w:rPr>
                <w:rFonts w:cs="Times New Roman"/>
                <w:b w:val="false"/>
                <w:i w:val="false"/>
                <w:iCs w:val="false"/>
                <w:sz w:val="28"/>
                <w:szCs w:val="28"/>
              </w:rPr>
              <w:t>предпринимательской         и          иной     экономической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rFonts w:cs="Times New Roman"/>
                <w:b w:val="false"/>
                <w:i w:val="false"/>
                <w:iCs w:val="false"/>
                <w:sz w:val="28"/>
                <w:szCs w:val="28"/>
              </w:rPr>
              <w:t>деятельности,    обязанности    для     субъектов   инвестиционной деятельности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</w:rPr>
              <w:t xml:space="preserve">или  способствующих их      введению,     оказывающих    негативное    влияние на  отрасли экономики МО Курганинский      район,     способствующих возникновению   необоснованных       расходов  физических или   юридических лиц в сфере </w:t>
            </w:r>
            <w:r>
              <w:rPr>
                <w:rStyle w:val="Style16"/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pacing w:val="2"/>
                <w:kern w:val="0"/>
                <w:sz w:val="28"/>
                <w:szCs w:val="28"/>
                <w:u w:val="none"/>
                <w:shd w:fill="auto" w:val="clear"/>
                <w:lang w:val="ru-RU" w:eastAsia="ru-RU" w:bidi="ar-SA"/>
              </w:rPr>
              <w:t>предпринимательской и иной экономической                                   и инвестиционной деятельности,  а  также необоснованных расходов бюджета МО  Курганинский район.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tbl>
            <w:tblPr>
              <w:tblW w:w="992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23"/>
            </w:tblGrid>
            <w:tr>
              <w:trPr>
                <w:trHeight w:val="1869" w:hRule="atLeast"/>
              </w:trPr>
              <w:tc>
                <w:tcPr>
                  <w:tcW w:w="9923" w:type="dxa"/>
                  <w:tcBorders/>
                </w:tcPr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/>
                  </w:pPr>
                  <w:r>
                    <w:rPr>
                      <w:sz w:val="28"/>
                      <w:szCs w:val="28"/>
                    </w:rPr>
                    <w:t>Первый заместитель главы</w:t>
                  </w:r>
                </w:p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/>
                  </w:pPr>
                  <w:r>
                    <w:rPr>
                      <w:sz w:val="28"/>
                      <w:szCs w:val="28"/>
                    </w:rPr>
                    <w:t xml:space="preserve">муниципального образования </w:t>
                  </w:r>
                </w:p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/>
                  </w:pPr>
                  <w:r>
                    <w:rPr>
                      <w:sz w:val="28"/>
                      <w:szCs w:val="28"/>
                    </w:rPr>
                    <w:t>Курганинский район</w:t>
                  </w:r>
                  <w:r>
                    <w:rPr>
                      <w:sz w:val="28"/>
                      <w:szCs w:val="28"/>
                    </w:rPr>
                    <w:t xml:space="preserve">                         </w:t>
                  </w:r>
                </w:p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/>
                  </w:pPr>
                  <w:r>
                    <w:rPr>
                      <w:sz w:val="28"/>
                      <w:szCs w:val="28"/>
                    </w:rPr>
                    <w:t>С.В. Мезрина</w:t>
                  </w:r>
                  <w:r>
                    <w:rPr>
                      <w:sz w:val="28"/>
                      <w:szCs w:val="28"/>
                    </w:rPr>
                    <w:t xml:space="preserve">                          11 сентября 2026 г.                           ______________</w:t>
                  </w:r>
                </w:p>
              </w:tc>
            </w:tr>
            <w:tr>
              <w:trPr/>
              <w:tc>
                <w:tcPr>
                  <w:tcW w:w="9923" w:type="dxa"/>
                  <w:tcBorders/>
                </w:tcPr>
                <w:p>
                  <w:pPr>
                    <w:pStyle w:val="Style22"/>
                    <w:spacing w:lineRule="auto" w:lin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cs="Times New Roman" w:ascii="Times New Roman" w:hAnsi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Style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120" w:hRule="atLeast"/>
        </w:trPr>
        <w:tc>
          <w:tcPr>
            <w:tcW w:w="9808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283" w:top="119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Times New Roman CYR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ind w:hanging="0" w:left="-680" w:right="0"/>
      <w:jc w:val="both"/>
      <w:rPr>
        <w:i w:val="false"/>
        <w:i w:val="false"/>
        <w:iCs w:val="false"/>
        <w:color w:val="000000"/>
        <w:sz w:val="28"/>
        <w:szCs w:val="28"/>
        <w:shd w:fill="F10D0C" w:val="clear"/>
      </w:rPr>
    </w:pPr>
    <w:r>
      <w:rPr>
        <w:i w:val="false"/>
        <w:iCs w:val="false"/>
        <w:color w:val="000000"/>
        <w:sz w:val="28"/>
        <w:szCs w:val="28"/>
        <w:shd w:fill="F10D0C" w:val="clea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ind w:hanging="0" w:left="-680" w:right="0"/>
      <w:jc w:val="both"/>
      <w:rPr>
        <w:i w:val="false"/>
        <w:i w:val="false"/>
        <w:iCs w:val="false"/>
        <w:color w:val="000000"/>
        <w:sz w:val="28"/>
        <w:szCs w:val="28"/>
        <w:shd w:fill="F10D0C" w:val="clear"/>
      </w:rPr>
    </w:pPr>
    <w:r>
      <w:rPr>
        <w:i w:val="false"/>
        <w:iCs w:val="false"/>
        <w:color w:val="000000"/>
        <w:sz w:val="28"/>
        <w:szCs w:val="28"/>
        <w:shd w:fill="F10D0C" w:val="clear"/>
      </w:rPr>
    </w:r>
  </w:p>
</w:hdr>
</file>

<file path=word/settings.xml><?xml version="1.0" encoding="utf-8"?>
<w:settings xmlns:w="http://schemas.openxmlformats.org/wordprocessingml/2006/main">
  <w:zoom w:percent="65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ejaVu Sans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shd w:val="clear" w:fill="FFFFFF"/>
      <w:jc w:val="both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qFormat/>
    <w:pPr>
      <w:keepNext w:val="true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qFormat/>
    <w:pPr>
      <w:keepNext w:val="true"/>
      <w:ind w:hanging="0" w:left="0" w:right="-15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qFormat/>
    <w:pPr>
      <w:keepNext w:val="true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qFormat/>
    <w:pPr>
      <w:keepNext w:val="true"/>
      <w:spacing w:lineRule="auto" w:line="360"/>
      <w:ind w:hanging="0" w:left="0" w:right="43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qFormat/>
    <w:pPr>
      <w:keepNext w:val="true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qFormat/>
    <w:pPr>
      <w:keepNext w:val="true"/>
      <w:jc w:val="center"/>
      <w:outlineLvl w:val="6"/>
    </w:pPr>
    <w:rPr>
      <w:rFonts w:ascii="Calibri" w:hAnsi="Calibri"/>
    </w:rPr>
  </w:style>
  <w:style w:type="paragraph" w:styleId="Heading8">
    <w:name w:val="heading 8"/>
    <w:basedOn w:val="Normal"/>
    <w:qFormat/>
    <w:pPr>
      <w:keepNext w:val="true"/>
      <w:ind w:firstLine="708" w:left="0" w:right="-15"/>
      <w:jc w:val="center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qFormat/>
    <w:pPr>
      <w:keepNext w:val="true"/>
      <w:jc w:val="center"/>
      <w:outlineLvl w:val="8"/>
    </w:pPr>
    <w:rPr>
      <w:rFonts w:ascii="Cambria" w:hAnsi="Cambria"/>
      <w:sz w:val="22"/>
      <w:szCs w:val="2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4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5">
    <w:name w:val="Заголовок 5 Знак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6">
    <w:name w:val="Заголовок 6 Знак"/>
    <w:qFormat/>
    <w:rPr>
      <w:rFonts w:ascii="Calibri" w:hAnsi="Calibri" w:eastAsia="Times New Roman" w:cs="Times New Roman"/>
      <w:b/>
      <w:bCs/>
      <w:sz w:val="22"/>
      <w:szCs w:val="22"/>
    </w:rPr>
  </w:style>
  <w:style w:type="character" w:styleId="7">
    <w:name w:val="Заголовок 7 Знак"/>
    <w:qFormat/>
    <w:rPr>
      <w:rFonts w:ascii="Calibri" w:hAnsi="Calibri" w:eastAsia="Times New Roman" w:cs="Times New Roman"/>
      <w:sz w:val="24"/>
      <w:szCs w:val="24"/>
    </w:rPr>
  </w:style>
  <w:style w:type="character" w:styleId="8">
    <w:name w:val="Заголовок 8 Знак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9">
    <w:name w:val="Заголовок 9 Знак"/>
    <w:qFormat/>
    <w:rPr>
      <w:rFonts w:ascii="Cambria" w:hAnsi="Cambria" w:eastAsia="Times New Roman" w:cs="Times New Roman"/>
      <w:sz w:val="22"/>
      <w:szCs w:val="22"/>
    </w:rPr>
  </w:style>
  <w:style w:type="character" w:styleId="Style5">
    <w:name w:val="Верхний колонтитул Знак"/>
    <w:qFormat/>
    <w:rPr>
      <w:sz w:val="24"/>
      <w:szCs w:val="24"/>
    </w:rPr>
  </w:style>
  <w:style w:type="character" w:styleId="Style6">
    <w:name w:val="Нижний колонтитул Знак"/>
    <w:qFormat/>
    <w:rPr>
      <w:sz w:val="24"/>
      <w:szCs w:val="24"/>
    </w:rPr>
  </w:style>
  <w:style w:type="character" w:styleId="Style7">
    <w:name w:val="Текст Знак"/>
    <w:qFormat/>
    <w:rPr>
      <w:rFonts w:ascii="Courier New" w:hAnsi="Courier New" w:cs="Courier New"/>
    </w:rPr>
  </w:style>
  <w:style w:type="character" w:styleId="21">
    <w:name w:val="Основной текст 2 Знак"/>
    <w:qFormat/>
    <w:rPr>
      <w:sz w:val="24"/>
      <w:szCs w:val="24"/>
    </w:rPr>
  </w:style>
  <w:style w:type="character" w:styleId="31">
    <w:name w:val="Основной текст 3 Знак"/>
    <w:qFormat/>
    <w:rPr>
      <w:sz w:val="16"/>
      <w:szCs w:val="16"/>
    </w:rPr>
  </w:style>
  <w:style w:type="character" w:styleId="Style8">
    <w:name w:val="Основной текст Знак"/>
    <w:qFormat/>
    <w:rPr>
      <w:sz w:val="24"/>
      <w:szCs w:val="24"/>
    </w:rPr>
  </w:style>
  <w:style w:type="character" w:styleId="Style9">
    <w:name w:val="Основной текст с отступом Знак"/>
    <w:qFormat/>
    <w:rPr>
      <w:sz w:val="24"/>
      <w:szCs w:val="24"/>
    </w:rPr>
  </w:style>
  <w:style w:type="character" w:styleId="22">
    <w:name w:val="Основной текст с отступом 2 Знак"/>
    <w:qFormat/>
    <w:rPr>
      <w:sz w:val="24"/>
      <w:szCs w:val="24"/>
    </w:rPr>
  </w:style>
  <w:style w:type="character" w:styleId="Style10">
    <w:name w:val="Заголовок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32">
    <w:name w:val="Основной текст с отступом 3 Знак"/>
    <w:qFormat/>
    <w:rPr>
      <w:sz w:val="16"/>
      <w:szCs w:val="16"/>
    </w:rPr>
  </w:style>
  <w:style w:type="character" w:styleId="Style11">
    <w:name w:val="Гипертекстовая ссылка"/>
    <w:qFormat/>
    <w:rPr>
      <w:rFonts w:cs="Times New Roman"/>
      <w:color w:val="008000"/>
      <w:sz w:val="20"/>
      <w:szCs w:val="20"/>
      <w:u w:val="single"/>
    </w:rPr>
  </w:style>
  <w:style w:type="character" w:styleId="Style12">
    <w:name w:val="Цветовое выделение"/>
    <w:qFormat/>
    <w:rPr>
      <w:b/>
      <w:color w:val="26282F"/>
    </w:rPr>
  </w:style>
  <w:style w:type="character" w:styleId="FontStyle54">
    <w:name w:val="Font Style54"/>
    <w:qFormat/>
    <w:rPr>
      <w:rFonts w:ascii="Times New Roman" w:hAnsi="Times New Roman"/>
      <w:b/>
      <w:sz w:val="16"/>
    </w:rPr>
  </w:style>
  <w:style w:type="character" w:styleId="apple-style-span">
    <w:name w:val="apple-style-span"/>
    <w:qFormat/>
    <w:rPr/>
  </w:style>
  <w:style w:type="character" w:styleId="FontStyle50">
    <w:name w:val="Font Style50"/>
    <w:qFormat/>
    <w:rPr>
      <w:rFonts w:ascii="Times New Roman" w:hAnsi="Times New Roman"/>
      <w:sz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3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23">
    <w:name w:val="Основной текст (2)_"/>
    <w:basedOn w:val="DefaultParagraphFont"/>
    <w:qFormat/>
    <w:rPr>
      <w:sz w:val="28"/>
      <w:szCs w:val="28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0pt">
    <w:name w:val="Основной текст + Интервал 0 pt"/>
    <w:qFormat/>
    <w:rPr>
      <w:rFonts w:ascii="Times New Roman" w:hAnsi="Times New Roman" w:eastAsia="Times New Roman" w:cs="Times New Roman"/>
      <w:color w:val="000000"/>
      <w:spacing w:val="0"/>
      <w:w w:val="100"/>
      <w:sz w:val="26"/>
      <w:szCs w:val="26"/>
      <w:lang w:val="ru-RU" w:eastAsia="ru-RU" w:bidi="ru-RU"/>
    </w:rPr>
  </w:style>
  <w:style w:type="character" w:styleId="Style14">
    <w:name w:val="Выделение жирным"/>
    <w:qFormat/>
    <w:rPr>
      <w:b/>
      <w:bCs/>
    </w:rPr>
  </w:style>
  <w:style w:type="character" w:styleId="11">
    <w:name w:val="Основной шрифт абзаца1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/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rFonts w:ascii="Times New Roman" w:hAnsi="Times New Roman" w:eastAsia="Times New Roman" w:cs="Times New Roman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rFonts w:ascii="Times New Roman" w:hAnsi="Times New Roman" w:eastAsia="Times New Roman" w:cs="Times New Roman"/>
      <w:sz w:val="28"/>
      <w:szCs w:val="28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Style15">
    <w:name w:val="Основной шрифт абзаца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0">
    <w:name w:val="WW8Num1z0"/>
    <w:qFormat/>
    <w:rPr>
      <w:rFonts w:ascii="Times New Roman" w:hAnsi="Times New Roman" w:eastAsia="Times New Roman" w:cs="Times New Roman"/>
      <w:sz w:val="28"/>
      <w:szCs w:val="28"/>
    </w:rPr>
  </w:style>
  <w:style w:type="character" w:styleId="Style16">
    <w:name w:val="Цветовое выделение для Текст"/>
    <w:qFormat/>
    <w:rPr>
      <w:sz w:val="24"/>
    </w:rPr>
  </w:style>
  <w:style w:type="character" w:styleId="111">
    <w:name w:val="Заголовок 1 Знак1"/>
    <w:qFormat/>
    <w:rPr>
      <w:rFonts w:ascii="Times New Roman" w:hAnsi="Times New Roman"/>
      <w:color w:val="000000"/>
      <w:spacing w:val="3"/>
      <w:w w:val="100"/>
      <w:sz w:val="21"/>
      <w:shd w:fill="FFFFFF" w:val="clear"/>
      <w:lang w:val="ru-RU" w:eastAsia="ru-RU"/>
    </w:rPr>
  </w:style>
  <w:style w:type="character" w:styleId="Style17">
    <w:name w:val="Символ нумерации"/>
    <w:qFormat/>
    <w:rPr/>
  </w:style>
  <w:style w:type="character" w:styleId="FontStyle21">
    <w:name w:val="Font Style21"/>
    <w:qFormat/>
    <w:rPr>
      <w:rFonts w:ascii="Times New Roman" w:hAnsi="Times New Roman" w:cs="Times New Roman"/>
      <w:sz w:val="22"/>
      <w:szCs w:val="22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ejaVu 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jc w:val="center"/>
    </w:pPr>
    <w:rPr>
      <w:sz w:val="28"/>
    </w:rPr>
  </w:style>
  <w:style w:type="paragraph" w:styleId="Style19">
    <w:name w:val="Указатель"/>
    <w:basedOn w:val="Normal"/>
    <w:qFormat/>
    <w:pPr>
      <w:suppressLineNumbers/>
    </w:pPr>
    <w:rPr>
      <w:rFonts w:cs="DejaVu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PlainText">
    <w:name w:val="Plain Text"/>
    <w:basedOn w:val="Normal"/>
    <w:qFormat/>
    <w:pPr/>
    <w:rPr>
      <w:rFonts w:ascii="Courier New" w:hAnsi="Courier New"/>
      <w:sz w:val="20"/>
      <w:szCs w:val="20"/>
    </w:rPr>
  </w:style>
  <w:style w:type="paragraph" w:styleId="BodyText2">
    <w:name w:val="Body Text 2"/>
    <w:basedOn w:val="Normal"/>
    <w:qFormat/>
    <w:pPr>
      <w:spacing w:lineRule="auto" w:line="360"/>
      <w:ind w:hanging="0" w:left="0" w:right="43"/>
      <w:jc w:val="both"/>
    </w:pPr>
    <w:rPr/>
  </w:style>
  <w:style w:type="paragraph" w:styleId="BodyText3">
    <w:name w:val="Body Text 3"/>
    <w:basedOn w:val="Normal"/>
    <w:qFormat/>
    <w:pPr>
      <w:jc w:val="both"/>
    </w:pPr>
    <w:rPr>
      <w:sz w:val="16"/>
      <w:szCs w:val="16"/>
    </w:rPr>
  </w:style>
  <w:style w:type="paragraph" w:styleId="BodyTextIndent">
    <w:name w:val="Body Text Indent"/>
    <w:basedOn w:val="Normal"/>
    <w:pPr>
      <w:ind w:hanging="0" w:left="720" w:right="0"/>
      <w:jc w:val="both"/>
    </w:pPr>
    <w:rPr/>
  </w:style>
  <w:style w:type="paragraph" w:styleId="BodyTextIndent2">
    <w:name w:val="Body Text Indent 2"/>
    <w:basedOn w:val="Normal"/>
    <w:qFormat/>
    <w:pPr>
      <w:ind w:firstLine="708" w:left="0" w:right="0"/>
      <w:jc w:val="both"/>
    </w:pPr>
    <w:rPr/>
  </w:style>
  <w:style w:type="paragraph" w:styleId="Title">
    <w:name w:val="Title"/>
    <w:basedOn w:val="Normal"/>
    <w:qFormat/>
    <w:pPr>
      <w:jc w:val="center"/>
    </w:pPr>
    <w:rPr>
      <w:rFonts w:ascii="Cambria" w:hAnsi="Cambria"/>
      <w:b/>
      <w:bCs/>
      <w:kern w:val="2"/>
      <w:sz w:val="32"/>
      <w:szCs w:val="32"/>
    </w:rPr>
  </w:style>
  <w:style w:type="paragraph" w:styleId="BodyTextIndent3">
    <w:name w:val="Body Text Indent 3"/>
    <w:basedOn w:val="Normal"/>
    <w:qFormat/>
    <w:pPr>
      <w:ind w:firstLine="705" w:left="0" w:right="0"/>
      <w:jc w:val="both"/>
    </w:pPr>
    <w:rPr>
      <w:sz w:val="16"/>
      <w:szCs w:val="16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ConsTitle">
    <w:name w:val="ConsTitle"/>
    <w:qFormat/>
    <w:pPr>
      <w:widowControl/>
      <w:suppressAutoHyphens w:val="true"/>
      <w:overflowPunct w:val="false"/>
      <w:bidi w:val="0"/>
      <w:spacing w:before="0" w:after="0"/>
      <w:ind w:hanging="0" w:left="0" w:right="19772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ConsNormal">
    <w:name w:val="ConsNormal"/>
    <w:qFormat/>
    <w:pPr>
      <w:widowControl/>
      <w:suppressAutoHyphens w:val="true"/>
      <w:overflowPunct w:val="false"/>
      <w:bidi w:val="0"/>
      <w:spacing w:before="0" w:after="0"/>
      <w:ind w:firstLine="720" w:left="0" w:right="19772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Style22">
    <w:name w:val="Нормальный (таблица)"/>
    <w:basedOn w:val="Normal"/>
    <w:qFormat/>
    <w:pPr>
      <w:widowControl w:val="false"/>
      <w:jc w:val="both"/>
    </w:pPr>
    <w:rPr>
      <w:rFonts w:ascii="Arial" w:hAnsi="Arial" w:cs="Arial"/>
    </w:rPr>
  </w:style>
  <w:style w:type="paragraph" w:styleId="Style23">
    <w:name w:val="Прижатый влево"/>
    <w:basedOn w:val="Normal"/>
    <w:qFormat/>
    <w:pPr>
      <w:widowControl w:val="false"/>
    </w:pPr>
    <w:rPr>
      <w:rFonts w:ascii="Arial" w:hAnsi="Arial" w:cs="Arial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4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Style51">
    <w:name w:val="Style5"/>
    <w:basedOn w:val="Normal"/>
    <w:qFormat/>
    <w:pPr>
      <w:widowControl w:val="false"/>
      <w:spacing w:lineRule="exact" w:line="214"/>
      <w:jc w:val="both"/>
    </w:pPr>
    <w:rPr/>
  </w:style>
  <w:style w:type="paragraph" w:styleId="Style91">
    <w:name w:val="Style9"/>
    <w:basedOn w:val="Normal"/>
    <w:qFormat/>
    <w:pPr>
      <w:widowControl w:val="false"/>
      <w:spacing w:lineRule="exact" w:line="197"/>
      <w:jc w:val="both"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24">
    <w:name w:val="Основной текст (2)"/>
    <w:basedOn w:val="Normal"/>
    <w:qFormat/>
    <w:pPr>
      <w:widowControl w:val="false"/>
      <w:shd w:val="clear" w:fill="FFFFFF"/>
      <w:spacing w:lineRule="auto" w:line="240" w:before="0" w:after="480"/>
      <w:jc w:val="both"/>
    </w:pPr>
    <w:rPr>
      <w:sz w:val="28"/>
      <w:szCs w:val="28"/>
    </w:rPr>
  </w:style>
  <w:style w:type="paragraph" w:styleId="Style24">
    <w:name w:val="Заголовок списка"/>
    <w:basedOn w:val="Normal"/>
    <w:qFormat/>
    <w:pPr>
      <w:ind w:hanging="0" w:left="0" w:right="0"/>
    </w:pPr>
    <w:rPr/>
  </w:style>
  <w:style w:type="paragraph" w:styleId="Style25">
    <w:name w:val="Содержимое списка"/>
    <w:basedOn w:val="Normal"/>
    <w:qFormat/>
    <w:pPr>
      <w:ind w:hanging="0" w:left="567" w:right="0"/>
    </w:pPr>
    <w:rPr/>
  </w:style>
  <w:style w:type="paragraph" w:styleId="Style26">
    <w:name w:val="Обычный (Интернет)"/>
    <w:basedOn w:val="Normal"/>
    <w:qFormat/>
    <w:pPr>
      <w:spacing w:before="280" w:after="280"/>
    </w:pPr>
    <w:rPr/>
  </w:style>
  <w:style w:type="paragraph" w:styleId="Style27">
    <w:name w:val="Содержимое таблицы"/>
    <w:basedOn w:val="Normal"/>
    <w:qFormat/>
    <w:pPr>
      <w:suppressLineNumbers/>
    </w:pPr>
    <w:rPr/>
  </w:style>
  <w:style w:type="paragraph" w:styleId="Style28">
    <w:name w:val="Текст выноски"/>
    <w:basedOn w:val="Normal"/>
    <w:qFormat/>
    <w:pPr/>
    <w:rPr>
      <w:rFonts w:ascii="Segoe UI" w:hAnsi="Segoe UI" w:cs="Segoe UI"/>
      <w:sz w:val="18"/>
      <w:szCs w:val="18"/>
      <w:lang w:val="ru-RU"/>
    </w:rPr>
  </w:style>
  <w:style w:type="paragraph" w:styleId="Style29">
    <w:name w:val="Абзац списка"/>
    <w:basedOn w:val="Normal"/>
    <w:qFormat/>
    <w:pPr>
      <w:ind w:hanging="0" w:left="708" w:right="0"/>
    </w:pPr>
    <w:rPr/>
  </w:style>
  <w:style w:type="paragraph" w:styleId="12">
    <w:name w:val="Указатель1"/>
    <w:basedOn w:val="Normal"/>
    <w:qFormat/>
    <w:pPr>
      <w:suppressLineNumbers/>
    </w:pPr>
    <w:rPr>
      <w:rFonts w:cs="DejaVu Sans;Times New Roman"/>
    </w:rPr>
  </w:style>
  <w:style w:type="paragraph" w:styleId="Style30">
    <w:name w:val="Название объекта"/>
    <w:basedOn w:val="Normal"/>
    <w:qFormat/>
    <w:pPr>
      <w:suppressLineNumbers/>
      <w:spacing w:before="120" w:after="120"/>
    </w:pPr>
    <w:rPr>
      <w:rFonts w:cs="DejaVu Sans;Times New Roman"/>
      <w:i/>
      <w:iCs/>
      <w:sz w:val="24"/>
      <w:szCs w:val="24"/>
    </w:rPr>
  </w:style>
  <w:style w:type="paragraph" w:styleId="Style31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25">
    <w:name w:val="Основной текст2"/>
    <w:basedOn w:val="Normal"/>
    <w:qFormat/>
    <w:pPr>
      <w:shd w:val="clear" w:fill="FFFFFF"/>
      <w:spacing w:lineRule="exact" w:line="322" w:before="600" w:after="0"/>
      <w:ind w:hanging="360"/>
    </w:pPr>
    <w:rPr>
      <w:rFonts w:ascii="Times New Roman" w:hAnsi="Times New Roman" w:cs="Times New Roman"/>
      <w:spacing w:val="1"/>
      <w:sz w:val="23"/>
      <w:szCs w:val="23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32">
    <w:name w:val="Без списка"/>
    <w:qFormat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investkurg@mail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Application>LibreOffice/24.8.7.2$Linux_X86_64 LibreOffice_project/480$Build-2</Application>
  <AppVersion>15.0000</AppVersion>
  <Pages>6</Pages>
  <Words>1330</Words>
  <Characters>10450</Characters>
  <CharactersWithSpaces>13140</CharactersWithSpaces>
  <Paragraphs>89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2019-08-02T10:50:00Z</dcterms:created>
  <dc:creator>Юля</dc:creator>
  <dc:description/>
  <dc:language>ru-RU</dc:language>
  <cp:lastModifiedBy/>
  <cp:lastPrinted>2026-09-14T13:23:42Z</cp:lastPrinted>
  <dcterms:modified xsi:type="dcterms:W3CDTF">2026-09-14T13:25:30Z</dcterms:modified>
  <cp:revision>137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