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101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10606" w:type="dxa"/>
              <w:jc w:val="left"/>
              <w:tblInd w:w="195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  <w:shd w:fill="auto" w:val="clear"/>
                </w:tcPr>
                <w:tbl>
                  <w:tblPr>
                    <w:tblW w:w="7456" w:type="dxa"/>
                    <w:jc w:val="left"/>
                    <w:tblInd w:w="350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5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Заместителю главы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Курганинский район,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сельского хозяйства и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перерабатывающей</w:t>
                        </w:r>
                      </w:p>
                      <w:p>
                        <w:pPr>
                          <w:pStyle w:val="user5"/>
                          <w:jc w:val="both"/>
                          <w:rPr/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промышленности</w:t>
                        </w:r>
                      </w:p>
                      <w:p>
                        <w:pPr>
                          <w:pStyle w:val="user5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before="0" w:after="0"/>
                          <w:ind w:hanging="0" w:left="0" w:right="-4932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Ерезенко Е.Е.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  <w:shd w:fill="auto" w:val="clear"/>
                </w:tcPr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jc w:val="left"/>
                    <w:rPr/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  <w:shd w:fill="auto" w:val="clear"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проекта постановления администрации муниципального образования Курганинский район «</w:t>
                        </w:r>
                        <w:bookmarkStart w:id="0" w:name="_Hlk219190031"/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highlight w:val="white"/>
                            <w:shd w:fill="auto" w:val="clear"/>
                            <w:lang w:val="ru-RU" w:eastAsia="zh-CN" w:bidi="ar-SA"/>
                          </w:rPr>
                          <w:t>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                  </w:r>
                        <w:bookmarkEnd w:id="0"/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Style w:val="Style16"/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                                                          7 мая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«Об утверждении Порядка                                      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</w:t>
            </w:r>
            <w:bookmarkStart w:id="1" w:name="_Hlk219190031_Копия_1"/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»</w:t>
            </w:r>
            <w:bookmarkEnd w:id="1"/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администрации МО       Курганинский        район         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77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>постановления администрации МО Курганинский район                         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highlight w:val="white"/>
                <w:shd w:fill="auto" w:val="clear"/>
                <w:lang w:val="ru-RU" w:eastAsia="zh-CN" w:bidi="ar-SA"/>
              </w:rPr>
              <w:t>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                       в области сельскохозяйственного производства на территории муниципального образования Курганинский район</w:t>
            </w:r>
            <w:bookmarkStart w:id="2" w:name="_Hlk219190031_Копия_2"/>
            <w:r>
              <w:rPr>
                <w:rStyle w:val="Style16"/>
                <w:sz w:val="28"/>
                <w:szCs w:val="28"/>
              </w:rPr>
              <w:t>»</w:t>
            </w:r>
            <w:bookmarkEnd w:id="2"/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highlight w:val="whit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highlight w:val="white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 Количественная оценка участников: количество КФХ, ИП                    и ЛПХ</w:t>
            </w:r>
            <w:r>
              <w:rPr>
                <w:rStyle w:val="111"/>
                <w:rFonts w:eastAsia="Times New Roman" w:cs="Times New Roman"/>
                <w:b w:val="false"/>
                <w:bCs/>
                <w:i w:val="false"/>
                <w:iCs w:val="false"/>
                <w:kern w:val="0"/>
                <w:sz w:val="28"/>
                <w:szCs w:val="28"/>
                <w:shd w:fill="auto" w:val="clear"/>
                <w:lang w:bidi="ar-SA"/>
              </w:rPr>
              <w:t xml:space="preserve"> получателей субсидий в 2025 году составило 121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объективно,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монито</w:t>
            </w:r>
            <w:r>
              <w:rPr>
                <w:rStyle w:val="111"/>
                <w:sz w:val="28"/>
                <w:szCs w:val="28"/>
              </w:rPr>
              <w:t>ринге достижения цели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highlight w:val="white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highlight w:val="white"/>
              </w:rPr>
              <w:t xml:space="preserve">    </w:t>
            </w:r>
            <w:r>
              <w:rPr>
                <w:sz w:val="28"/>
                <w:szCs w:val="28"/>
                <w:highlight w:val="white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граждане, ведущие личное подсобное хозяйство, крестьянские (фермерские) хозяйства, индивидуальные предприниматели, осуществляющие деятельность    в области сельскохозяйственного производства 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соответствии с действующим законодательством Российской Федерации либо их уполномоченные представи</w:t>
            </w:r>
            <w:r>
              <w:rPr>
                <w:rFonts w:eastAsia="DejaVu Sans" w:cs="Times New Roman" w:eastAsiaTheme="minorEastAsia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тели. </w:t>
            </w:r>
            <w:r>
              <w:rPr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           В 2025 г. с заявкой на участие в отборе получателей субсидий обратились                     193 претендента.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1036" w:leader="none"/>
                    </w:tabs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невозможность оказания государственной поддержки в виде предоставления субсидий </w:t>
                  </w:r>
                  <w:bookmarkStart w:id="3" w:name="__DdeLink__526_4025685035_Копия_1"/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            </w:r>
                  <w:bookmarkEnd w:id="3"/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, в</w:t>
                  </w:r>
                  <w:r>
                    <w:rPr>
                      <w:rStyle w:val="Style16"/>
                      <w:rFonts w:eastAsia="DejaVu Sans" w:cs="Times New Roman" w:eastAsiaTheme="minorEastAsia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связи                                     с несоответствием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действующему законодательству (внесены изменения в постановлени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е</w:t>
                  </w:r>
                  <w:r>
                    <w:rPr>
                      <w:rStyle w:val="Style16"/>
                      <w:rFonts w:eastAsia="DejaVu Sans" w:cs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                           по поддержке сельскохозяйственного производства в Краснодарском крае».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оказания </w:t>
                  </w:r>
                  <w:bookmarkStart w:id="4" w:name="__DdeLink__1326_4233123480"/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государственной поддержки,</w:t>
                  </w:r>
                </w:p>
                <w:p>
                  <w:pPr>
                    <w:pStyle w:val="Normal"/>
                    <w:ind w:hanging="0" w:left="0" w:right="0"/>
                    <w:jc w:val="center"/>
                    <w:rPr/>
                  </w:pPr>
                  <w:r>
                    <w:rPr>
                      <w:rStyle w:val="111"/>
                      <w:rFonts w:eastAsia="Times New Roman" w:cs="Times New Roman"/>
                      <w:bCs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4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Times New Roman" w:cs="Times New Roman"/>
                      <w:color w:themeColor="text1"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МО Курганинский район.</w:t>
                  </w:r>
                  <w:bookmarkEnd w:id="4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5" w:name="_Hlk1212346144"/>
            <w:bookmarkEnd w:id="5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еской деятельности, обязанности для субъектов инвестиционной деятельности, внесены изменения </w:t>
            </w:r>
            <w:r>
              <w:rPr>
                <w:rStyle w:val="111"/>
                <w:rFonts w:eastAsia="Times New Roman" w:cs="Times New Roman"/>
                <w:bCs/>
                <w:kern w:val="0"/>
                <w:sz w:val="28"/>
                <w:szCs w:val="28"/>
                <w:shd w:fill="auto" w:val="clear"/>
                <w:lang w:bidi="ar-SA"/>
              </w:rPr>
              <w:t xml:space="preserve">в </w:t>
            </w:r>
            <w:r>
              <w:rPr>
                <w:rStyle w:val="Style16"/>
                <w:rFonts w:eastAsia="" w:cs="Times New Roman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ср</w:t>
            </w:r>
            <w:r>
              <w:rPr>
                <w:rStyle w:val="Style16"/>
                <w:rFonts w:eastAsia="DejaVu Sans" w:cs="Times New Roman" w:eastAsiaTheme="minorEastAsia"/>
                <w:bCs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оки и перечень необходимых документов                                                       для предоставления субсидий из краевого бюджета.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Риски  недостижения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 xml:space="preserve">лирования, 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 w:eastAsiaTheme="minorEastAsia"/>
                <w:color w:val="00000A"/>
                <w:sz w:val="28"/>
                <w:szCs w:val="28"/>
              </w:rPr>
              <w:t xml:space="preserve"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предполагаются, за исключением лимитов бюджетных ассигнований на предоставление субсидий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в размере 49727,3 тыс. руб. по группе адресатов на 2025 год.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расходы потенциальных адресатов предлагаемого правового регулирования, состоят в виде информационных издержек на подготовку и представление заявки на участие в отборе, отчета о достижении результатов предоставления субсидии и составляют примерно 1105,41 руб.                в расчете на 1 ед. или 133754,61 руб. на 121 заявителя.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и представление информации (документов, сведений) в соответствии                           с требованиями проекта.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издержек на подготовку и подачу документов: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название требования: представление заявки на участие в отборе;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требования: представление документов;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 требования: информационное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масштаб: число заявлений - 1 ед. или 121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представления: 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заявки на участие в отборе - 3 чел./часа.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работников крупных и средних организаций  муниципального  образования   Курганинский район  за   2 месяца</w:t>
            </w:r>
          </w:p>
          <w:p>
            <w:pPr>
              <w:pStyle w:val="Normal"/>
              <w:ind w:firstLine="709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согласно данным органов статистики: 61903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стоимость часа работы: 368,47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требования: 1105,41 руб. ((368,47*(1+1+1) в расчете на 1 ед.                          или 133754,61 руб. на 121 заявителя.</w:t>
            </w:r>
          </w:p>
          <w:p>
            <w:pPr>
              <w:pStyle w:val="Normal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2) название требования: представление отчета о достижении значений результатов предоставления субсидии;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требования: представление документов;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раздел требования: информационное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масштаб: число заявлений - 1 ед. или 121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представления: 1 ед.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Действия: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данных, подготовка отчета о достижении значений результатов предоставления субсидии -  1 чел./час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работников крупных и средних организаций муниципального образования Курганинский район за 2 месяца 2026 г. согласно данным органов статистики: 61903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стоимость часа работы: 368,47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требования: 368,47 руб. (368,47*1) в расчете на 1 ед. или 44584,87 руб. на 121 заявителя.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 требования в расчете на 1 заявителя 1105,41руб.+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+ 368,47 руб. = 1473,88 руб.</w:t>
            </w:r>
          </w:p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 требования в расчете на 121 заявителя  133754,61 руб.+ +44584,87 руб.  = 178339,48 руб.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7  по 21 мая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</w:hyperlink>
            <w:hyperlink r:id="rId3"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</w:hyperlink>
            <w:hyperlink r:id="rId4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sz w:val="28"/>
                <w:szCs w:val="28"/>
                <w:shd w:fill="auto" w:val="clear"/>
              </w:rPr>
              <w:t>9. В период проведения публичных консультаций поступило одно замечание от индивидуального предпринимателя (далее - ИП) Е.А. Кудрявцевой: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</w:t>
            </w:r>
            <w:r>
              <w:rPr>
                <w:sz w:val="28"/>
                <w:szCs w:val="28"/>
                <w:shd w:fill="auto" w:val="clear"/>
              </w:rPr>
              <w:t xml:space="preserve">«Согласно подпункту 2.8.1 проекта постановления администрации муниципального образования Курганинский район «Об утверждении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 (далее - проект МПА), критериями отбора являются соотве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2"/>
                <w:u w:val="none"/>
                <w:shd w:fill="auto" w:val="clear"/>
                <w:lang w:val="ru-RU" w:eastAsia="ru-RU" w:bidi="ar-SA"/>
              </w:rPr>
              <w:t>тст</w:t>
            </w:r>
            <w:r>
              <w:rPr>
                <w:sz w:val="28"/>
                <w:szCs w:val="28"/>
                <w:shd w:fill="auto" w:val="clear"/>
              </w:rPr>
              <w:t>вие заявителя требованиям, указанным в пункте 2.1         раздела 2 и соответствие документов, указанных в подпунктах 2.2.6, 2.2.7 пункта 2.2 и подпункте  2.4.1 пункта 2.4 раздела 2.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sz w:val="28"/>
                <w:szCs w:val="28"/>
                <w:shd w:fill="auto" w:val="clear"/>
              </w:rPr>
              <w:t>В пункте 2.1 раздела 2 проекта МПА перечислено каким требованиям должны соответствовать Заявители. Полагаю целесообразным в подпунктах           14 и 15  пункта  2.1.  раздела 2 проекта МПА,    конкретизировать,    на      каких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  <w:shd w:fill="auto" w:val="clear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получателей субсидии распространяется действие указанных подпунктов (14,15). В противном случае, указанные подпункты распространяют свое действие на всех заявителей».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Также  получены   ответы от </w:t>
            </w:r>
            <w:r>
              <w:rPr>
                <w:rStyle w:val="0pt"/>
                <w:rFonts w:eastAsia="Calibri"/>
                <w:sz w:val="28"/>
                <w:szCs w:val="28"/>
                <w:shd w:fill="auto" w:val="clear"/>
              </w:rPr>
              <w:t>руководителя филиала союза «Торгово-промышленная палата Краснодарского края» в Лабинском районе</w:t>
            </w:r>
            <w:r>
              <w:rPr>
                <w:sz w:val="28"/>
                <w:szCs w:val="28"/>
                <w:shd w:fill="auto" w:val="clear"/>
              </w:rPr>
              <w:t xml:space="preserve"> Морговского Ю.В., общественного представителя в МО Курганинский район</w:t>
            </w:r>
            <w:r>
              <w:rPr>
                <w:sz w:val="28"/>
                <w:szCs w:val="28"/>
                <w:shd w:fill="FFFF00" w:val="clear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>Уполномоченного по защите     прав предпринимателей в Краснодарском крае   Буракова В.В., ИП, Председателя Совета депутатов Курганинского городского поселения Курганинского района Плетнева Л.Е., ИП Разина В.Ю., с которыми заключены соглашения о взаимодействии при проведении ОРВ. Замечание рассмотрено и учтено. Разработчику предлагается внести изменение в проект МПА.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10.  По результатам ОРВ представленного проекта МПА сделаны выводы о невозможности его дальнейшего согласования с учетом рисков, изложенных  в заключении.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28 мая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  <w:shd w:fill="auto" w:val="clear"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yperlink" Target="http://www.investkurg@mail.ru" TargetMode="External"/><Relationship Id="rId4" Type="http://schemas.openxmlformats.org/officeDocument/2006/relationships/hyperlink" Target="http://www.investkurg@mail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Application>LibreOffice/24.8.7.2$Linux_X86_64 LibreOffice_project/480$Build-2</Application>
  <AppVersion>15.0000</AppVersion>
  <Pages>6</Pages>
  <Words>1455</Words>
  <Characters>11303</Characters>
  <CharactersWithSpaces>13815</CharactersWithSpaces>
  <Paragraphs>91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2026-05-25T11:52:31Z</cp:lastPrinted>
  <dcterms:modified xsi:type="dcterms:W3CDTF">2026-05-25T11:54:36Z</dcterms:modified>
  <cp:revision>124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