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10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10606" w:type="dxa"/>
              <w:jc w:val="left"/>
              <w:tblInd w:w="16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  <w:shd w:fill="auto" w:val="clear"/>
                </w:tcPr>
                <w:tbl>
                  <w:tblPr>
                    <w:tblW w:w="7456" w:type="dxa"/>
                    <w:jc w:val="left"/>
                    <w:tblInd w:w="334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Заместителю главы</w:t>
                        </w:r>
                      </w:p>
                      <w:p>
                        <w:pPr>
                          <w:pStyle w:val="Style26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Style26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Курганинский район, </w:t>
                        </w:r>
                      </w:p>
                      <w:p>
                        <w:pPr>
                          <w:pStyle w:val="Style26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Style26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сельского хозяйства </w:t>
                        </w: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</w:t>
                        </w:r>
                      </w:p>
                      <w:p>
                        <w:pPr>
                          <w:pStyle w:val="Style26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перерабатывающей </w:t>
                        </w:r>
                      </w:p>
                      <w:p>
                        <w:pPr>
                          <w:pStyle w:val="Style26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промышленности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Ерезенко Е.Е.</w:t>
                        </w:r>
                      </w:p>
                    </w:tc>
                  </w:tr>
                </w:tbl>
                <w:p>
                  <w:pPr>
                    <w:pStyle w:val="Style26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  <w:shd w:fill="auto" w:val="clear"/>
                </w:tcPr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проект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а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 xml:space="preserve"> постановления администрации муниципального образования Курганинский район «О внесении изменений                 в </w:t>
                        </w:r>
                        <w:bookmarkStart w:id="0" w:name="_Hlk219190031"/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постановление администрации муниципального образования Курганинский район от 20 июля 2021 г. № 786                               «Об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                  </w:r>
                        <w:bookmarkEnd w:id="0"/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февраля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«О внесении изменений в </w:t>
            </w:r>
            <w:bookmarkStart w:id="1" w:name="_Hlk219190031_Копия_1"/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постановление администрации муниципального образования Курганинский район                             от 20 июля 2021 г. № 786 «Об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      </w:r>
            <w:bookmarkEnd w:id="1"/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,  направленный  для   подготовк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и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 настоящего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з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аключения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управлением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         </w:t>
            </w:r>
          </w:p>
          <w:p>
            <w:pPr>
              <w:pStyle w:val="Normal"/>
              <w:spacing w:lineRule="auto" w:line="240"/>
              <w:ind w:firstLine="743" w:left="0" w:right="0"/>
              <w:jc w:val="center"/>
              <w:rPr/>
            </w:pPr>
            <w:r>
              <w:rPr>
                <w:rStyle w:val="Style16"/>
                <w:sz w:val="28"/>
                <w:szCs w:val="28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имущественных отношений администрации МО       Курганинский        район         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 сообщ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</w:t>
            </w:r>
            <w:r>
              <w:rPr>
                <w:rStyle w:val="Style16"/>
                <w:sz w:val="28"/>
                <w:szCs w:val="28"/>
              </w:rPr>
              <w:t>МО</w:t>
            </w:r>
            <w:r>
              <w:rPr>
                <w:rStyle w:val="Style16"/>
                <w:sz w:val="28"/>
                <w:szCs w:val="28"/>
              </w:rPr>
              <w:t xml:space="preserve"> Курганинский район «О внесении изменений в </w:t>
            </w:r>
            <w:bookmarkStart w:id="2" w:name="_Hlk219190031_Копия_2"/>
            <w:r>
              <w:rPr>
                <w:rStyle w:val="Style16"/>
                <w:sz w:val="28"/>
                <w:szCs w:val="28"/>
              </w:rPr>
              <w:t>постановление администрации муниципального образования Курганинский район от 20 июля 2021 г. № 786 «Об утверждении Порядка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      </w:r>
            <w:bookmarkEnd w:id="2"/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 Количественная оценка участников: количеств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 КФХ, ИП                    и ЛПХ</w:t>
            </w:r>
            <w:r>
              <w:rPr>
                <w:rStyle w:val="111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8"/>
                <w:szCs w:val="28"/>
                <w:shd w:fill="auto" w:val="clear"/>
                <w:lang w:bidi="ar-SA"/>
              </w:rPr>
              <w:t xml:space="preserve"> получателей субсидий в 2025 году составило 121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объективно, 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   реализуемость     заявленных  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 сроки достижения заявленной цели - с даты вступления в силу настоящего Решения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монито</w:t>
            </w:r>
            <w:r>
              <w:rPr>
                <w:rStyle w:val="111"/>
                <w:sz w:val="28"/>
                <w:szCs w:val="28"/>
              </w:rPr>
              <w:t>ринге достижения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highlight w:val="white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highlight w:val="white"/>
              </w:rPr>
              <w:t xml:space="preserve">    </w:t>
            </w:r>
            <w:r>
              <w:rPr>
                <w:sz w:val="28"/>
                <w:szCs w:val="28"/>
                <w:highlight w:val="white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граждане, ведущие личное подсобное хозяйство, крестьянские (фермерские) хозяйства, индивидуальные предприниматели, осуществляющие деятельность    в области сельскохозяйственного производства </w:t>
            </w:r>
            <w:r>
              <w:rPr>
                <w:rFonts w:eastAsia="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соответствии с действующим законодательством Российской Федерации либо их уполномоченные представи</w:t>
            </w:r>
            <w:r>
              <w:rPr>
                <w:rFonts w:eastAsia="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тели. </w:t>
            </w:r>
            <w:r>
              <w:rPr>
                <w:rFonts w:eastAsia="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представляется возможным  в связи с заявительным характером предлагаемого правового регулирования.             В 2025 г. с заявкой на участие в отборе получателей субсидий обратились                     193 претендента.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невозможность оказания государственной поддержки в виде предоставления субсидий </w:t>
                  </w:r>
                  <w:bookmarkStart w:id="3" w:name="__DdeLink__526_4025685035_Копия_1"/>
                  <w:r>
                    <w:rPr>
                      <w:rStyle w:val="Style16"/>
                      <w:rFonts w:eastAsia="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            </w:r>
                  <w:bookmarkEnd w:id="3"/>
                  <w:r>
                    <w:rPr>
                      <w:rStyle w:val="Style16"/>
                      <w:rFonts w:eastAsia="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, в связи   несоответствием </w:t>
                  </w:r>
                  <w:r>
                    <w:rPr>
                      <w:rStyle w:val="Style16"/>
                      <w:rFonts w:eastAsia="Times New Roma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                             в области сельскохозяйственного производства на территории МО Курганинский район, утвержденного постановлением администрации МО Курганинский район от 20 июля 2021 г. № 786 (внесены</w:t>
                  </w:r>
                  <w:r>
                    <w:rPr>
                      <w:rStyle w:val="Style16"/>
                      <w:rFonts w:eastAsia="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изменения                                  в Федеральный Закон от 27 июля 2006 г. № 152-ФЗ «О персональных данных»,            постановление         правительства        Российской Федерации                                                           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center"/>
                    <w:rPr/>
                  </w:pPr>
                  <w:r>
                    <w:rPr>
                      <w:rStyle w:val="Style16"/>
                      <w:rFonts w:eastAsia="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от 25 октября 2023 г. № 1782 «Об утверждении общих требований                                      к нормативным правовым актам, регулирующим предоставление из бюджетов Российской Федерации, местных бюджетов субсидий, в том числе грантов                     в форме субсидий, юридическим лицам и проведение отборов получателей указанных субсидий, в том числе грантов в форме субсидий»).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оказани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я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bookmarkStart w:id="4" w:name="__DdeLink__1326_4233123480"/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государственной поддержки, </w:t>
                  </w:r>
                  <w:r>
                    <w:rPr>
                      <w:rStyle w:val="111"/>
                      <w:rFonts w:eastAsia="Times New Roman" w:cs="Times New Roman"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район.</w:t>
                  </w:r>
                  <w:bookmarkEnd w:id="4"/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5" w:name="_Hlk1212346144"/>
            <w:bookmarkEnd w:id="5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Проект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МПА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деятельности,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внесены изменения 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в </w:t>
            </w:r>
            <w:r>
              <w:rPr>
                <w:rStyle w:val="Style16"/>
                <w:rFonts w:eastAsia="" w:cs="Times New Roman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ср</w:t>
            </w:r>
            <w:r>
              <w:rPr>
                <w:rStyle w:val="Style16"/>
                <w:rFonts w:eastAsia="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оки и перечень необходимых документов                                                       для предоставления субсидий из краевого бюджета.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Возможные  риски  не  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>лирования,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Дополнительные расходы потенциальных адресатов предлагаемого правового регулирования,                            не предполагаются. Дополнительные издержки могут возникнуть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 </w:t>
            </w: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по </w:t>
            </w: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</w:hyperlink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</w:hyperlink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предпринимателей в Краснодарском крае   Буракова В.В., индивидуального предпринимателя (далее - ИП), Председателя Совета депутатов Курганинского городского поселения Курганинского района Плетнева Л.Е.,                                     ИП Кудрявцевой Е.А., ИП Разина В.Ю., ИП Липового А.В.,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расходов физических или   юридических лиц в сфере 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2</w:t>
                  </w:r>
                  <w:r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 xml:space="preserve"> февраля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3">
    <w:name w:val="Заголовок списка"/>
    <w:basedOn w:val="Normal"/>
    <w:qFormat/>
    <w:pPr>
      <w:ind w:hanging="0" w:left="0" w:right="0"/>
    </w:pPr>
    <w:rPr/>
  </w:style>
  <w:style w:type="paragraph" w:styleId="Style24">
    <w:name w:val="Содержимое списка"/>
    <w:basedOn w:val="Normal"/>
    <w:qFormat/>
    <w:pPr>
      <w:ind w:hanging="0" w:left="567" w:right="0"/>
    </w:pPr>
    <w:rPr/>
  </w:style>
  <w:style w:type="paragraph" w:styleId="Style25">
    <w:name w:val="Обычный (Интернет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0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1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yperlink" Target="http://www.investkurg@mai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Application>LibreOffice/24.8.5.2$Linux_X86_64 LibreOffice_project/480$Build-2</Application>
  <AppVersion>15.0000</AppVersion>
  <Pages>5</Pages>
  <Words>1175</Words>
  <Characters>9454</Characters>
  <CharactersWithSpaces>11989</CharactersWithSpaces>
  <Paragraphs>61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2026-03-03T14:35:08Z</cp:lastPrinted>
  <dcterms:modified xsi:type="dcterms:W3CDTF">2026-03-03T14:30:44Z</dcterms:modified>
  <cp:revision>121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