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08" w:type="dxa"/>
        <w:jc w:val="left"/>
        <w:tblInd w:w="50" w:type="dxa"/>
        <w:tblLayout w:type="fixed"/>
        <w:tblCellMar>
          <w:top w:w="0" w:type="dxa"/>
          <w:left w:w="113" w:type="dxa"/>
          <w:bottom w:w="0" w:type="dxa"/>
          <w:right w:w="108" w:type="dxa"/>
        </w:tblCellMar>
      </w:tblPr>
      <w:tblGrid>
        <w:gridCol w:w="9808"/>
      </w:tblGrid>
      <w:tr>
        <w:trPr>
          <w:trHeight w:val="6180" w:hRule="atLeast"/>
        </w:trPr>
        <w:tc>
          <w:tcPr>
            <w:tcW w:w="9808" w:type="dxa"/>
            <w:tcBorders/>
          </w:tcPr>
          <w:tbl>
            <w:tblPr>
              <w:tblW w:w="10606" w:type="dxa"/>
              <w:jc w:val="left"/>
              <w:tblInd w:w="249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606"/>
            </w:tblGrid>
            <w:tr>
              <w:trPr/>
              <w:tc>
                <w:tcPr>
                  <w:tcW w:w="10606" w:type="dxa"/>
                  <w:tcBorders/>
                </w:tcPr>
                <w:tbl>
                  <w:tblPr>
                    <w:tblW w:w="8065" w:type="dxa"/>
                    <w:jc w:val="left"/>
                    <w:tblInd w:w="317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</w:tblPr>
                  <w:tblGrid>
                    <w:gridCol w:w="8065"/>
                  </w:tblGrid>
                  <w:tr>
                    <w:trPr>
                      <w:trHeight w:val="4020" w:hRule="atLeast"/>
                    </w:trPr>
                    <w:tc>
                      <w:tcPr>
                        <w:tcW w:w="8065" w:type="dxa"/>
                        <w:tcBorders/>
                      </w:tcPr>
                      <w:p>
                        <w:pPr>
                          <w:pStyle w:val="ConsPlusNonformat"/>
                          <w:ind w:hanging="0"/>
                          <w:jc w:val="both"/>
                          <w:rPr/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  <w:t>Начальнику управления</w:t>
                        </w:r>
                      </w:p>
                      <w:p>
                        <w:pPr>
                          <w:pStyle w:val="ConsPlusNonformat"/>
                          <w:ind w:hanging="0"/>
                          <w:jc w:val="both"/>
                          <w:rPr>
                            <w:rFonts w:ascii="Times New Roman" w:hAnsi="Times New Roman" w:eastAsia="Times New Roman" w:cs="Times New Roman"/>
                            <w:b w:val="false"/>
                            <w:bCs/>
                            <w:i w:val="false"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  <w:t>имущественных отношений</w:t>
                        </w:r>
                      </w:p>
                      <w:p>
                        <w:pPr>
                          <w:pStyle w:val="ConsPlusNonformat"/>
                          <w:ind w:hanging="0"/>
                          <w:jc w:val="both"/>
                          <w:rPr>
                            <w:rFonts w:ascii="Times New Roman" w:hAnsi="Times New Roman" w:eastAsia="Times New Roman" w:cs="Times New Roman"/>
                            <w:b w:val="false"/>
                            <w:bCs/>
                            <w:i w:val="false"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  <w:t>администрации</w:t>
                        </w:r>
                      </w:p>
                      <w:p>
                        <w:pPr>
                          <w:pStyle w:val="ConsPlusNonformat"/>
                          <w:ind w:hanging="0"/>
                          <w:jc w:val="both"/>
                          <w:rPr>
                            <w:rFonts w:ascii="Times New Roman" w:hAnsi="Times New Roman" w:eastAsia="Times New Roman" w:cs="Times New Roman"/>
                            <w:b w:val="false"/>
                            <w:bCs/>
                            <w:i w:val="false"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  <w:t>муниципального образования</w:t>
                        </w:r>
                      </w:p>
                      <w:p>
                        <w:pPr>
                          <w:pStyle w:val="ConsPlusNonformat"/>
                          <w:ind w:hanging="0"/>
                          <w:jc w:val="both"/>
                          <w:rPr>
                            <w:rFonts w:ascii="Times New Roman" w:hAnsi="Times New Roman" w:eastAsia="Times New Roman" w:cs="Times New Roman"/>
                            <w:b w:val="false"/>
                            <w:bCs/>
                            <w:i w:val="false"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  <w:t>Курганинский  район</w:t>
                        </w:r>
                      </w:p>
                      <w:p>
                        <w:pPr>
                          <w:pStyle w:val="ConsPlusNonformat"/>
                          <w:ind w:hanging="0"/>
                          <w:jc w:val="both"/>
                          <w:rPr>
                            <w:rFonts w:ascii="Times New Roman" w:hAnsi="Times New Roman" w:eastAsia="Times New Roman" w:cs="Times New Roman"/>
                            <w:b w:val="false"/>
                            <w:bCs/>
                            <w:i w:val="false"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</w:r>
                      </w:p>
                      <w:p>
                        <w:pPr>
                          <w:pStyle w:val="ConsPlusNonformat"/>
                          <w:ind w:hanging="0"/>
                          <w:jc w:val="both"/>
                          <w:rPr>
                            <w:rFonts w:ascii="Times New Roman" w:hAnsi="Times New Roman" w:eastAsia="Times New Roman" w:cs="Times New Roman"/>
                            <w:b w:val="false"/>
                            <w:bCs/>
                            <w:i w:val="false"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</w:pP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  <w:t xml:space="preserve">Е.В. </w:t>
                        </w:r>
                        <w:r>
                          <w:rPr>
                            <w:rFonts w:eastAsia="Times New Roman" w:cs="Times New Roman" w:ascii="Times New Roman" w:hAnsi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auto" w:val="clear"/>
                            <w:lang w:val="ru-RU" w:eastAsia="ru-RU" w:bidi="ar-SA"/>
                          </w:rPr>
                          <w:t>Лукьяненко</w:t>
                        </w:r>
                      </w:p>
                    </w:tc>
                  </w:tr>
                </w:tbl>
                <w:p>
                  <w:pPr>
                    <w:pStyle w:val="user5"/>
                    <w:jc w:val="both"/>
                    <w:rPr>
                      <w:rFonts w:eastAsia="Times New Roman" w:cs="Times New Roman"/>
                      <w:b w:val="false"/>
                      <w:bCs/>
                      <w:i w:val="false"/>
                      <w:i w:val="false"/>
                      <w:iCs/>
                      <w:color w:val="auto"/>
                      <w:spacing w:val="2"/>
                      <w:kern w:val="0"/>
                      <w:sz w:val="28"/>
                      <w:szCs w:val="28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b w:val="false"/>
                      <w:bCs/>
                      <w:i w:val="false"/>
                      <w:iCs/>
                      <w:color w:val="auto"/>
                      <w:spacing w:val="2"/>
                      <w:kern w:val="0"/>
                      <w:sz w:val="28"/>
                      <w:szCs w:val="28"/>
                      <w:lang w:val="ru-RU" w:eastAsia="ru-RU" w:bidi="ar-SA"/>
                    </w:rPr>
                  </w:r>
                </w:p>
              </w:tc>
            </w:tr>
            <w:tr>
              <w:trPr>
                <w:trHeight w:val="619" w:hRule="atLeast"/>
              </w:trPr>
              <w:tc>
                <w:tcPr>
                  <w:tcW w:w="10606" w:type="dxa"/>
                  <w:tcBorders/>
                </w:tcPr>
                <w:p>
                  <w:pPr>
                    <w:pStyle w:val="Heading1"/>
                    <w:shd w:val="clear" w:fill="FFFFFF"/>
                    <w:ind w:hanging="0" w:left="0"/>
                    <w:jc w:val="left"/>
                    <w:rPr>
                      <w:rFonts w:ascii="Times New Roman" w:hAnsi="Times New Roman"/>
                      <w:bCs w:val="false"/>
                      <w:kern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 w:val="false"/>
                      <w:kern w:val="0"/>
                      <w:sz w:val="28"/>
                      <w:szCs w:val="28"/>
                    </w:rPr>
                    <w:t xml:space="preserve">                                     </w:t>
                  </w:r>
                  <w:r>
                    <w:rPr>
                      <w:rFonts w:ascii="Times New Roman" w:hAnsi="Times New Roman"/>
                      <w:bCs w:val="false"/>
                      <w:kern w:val="0"/>
                      <w:sz w:val="28"/>
                      <w:szCs w:val="28"/>
                    </w:rPr>
                    <w:t>Заключение</w:t>
                  </w:r>
                </w:p>
                <w:p>
                  <w:pPr>
                    <w:pStyle w:val="Heading1"/>
                    <w:shd w:val="clear" w:fill="FFFFFF"/>
                    <w:ind w:hanging="0" w:left="0"/>
                    <w:jc w:val="left"/>
                    <w:rPr>
                      <w:rFonts w:ascii="Times New Roman" w:hAnsi="Times New Roman"/>
                      <w:bCs w:val="false"/>
                      <w:kern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 w:val="false"/>
                      <w:kern w:val="0"/>
                      <w:sz w:val="28"/>
                      <w:szCs w:val="28"/>
                    </w:rPr>
                    <w:t xml:space="preserve">              </w:t>
                  </w:r>
                  <w:r>
                    <w:rPr>
                      <w:rFonts w:ascii="Times New Roman" w:hAnsi="Times New Roman"/>
                      <w:bCs w:val="false"/>
                      <w:kern w:val="0"/>
                      <w:sz w:val="28"/>
                      <w:szCs w:val="28"/>
                    </w:rPr>
                    <w:t>об оценке регулирующего воздействия</w:t>
                  </w:r>
                </w:p>
              </w:tc>
            </w:tr>
          </w:tbl>
          <w:p/>
        </w:tc>
      </w:tr>
      <w:tr>
        <w:trPr>
          <w:trHeight w:val="2054" w:hRule="atLeast"/>
        </w:trPr>
        <w:tc>
          <w:tcPr>
            <w:tcW w:w="9808" w:type="dxa"/>
            <w:tcBorders/>
          </w:tcPr>
          <w:tbl>
            <w:tblPr>
              <w:tblW w:w="8620" w:type="dxa"/>
              <w:jc w:val="left"/>
              <w:tblInd w:w="126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8620"/>
            </w:tblGrid>
            <w:tr>
              <w:trPr>
                <w:trHeight w:val="2780" w:hRule="atLeast"/>
              </w:trPr>
              <w:tc>
                <w:tcPr>
                  <w:tcW w:w="8620" w:type="dxa"/>
                  <w:tcBorders/>
                </w:tcPr>
                <w:tbl>
                  <w:tblPr>
                    <w:tblW w:w="7880" w:type="dxa"/>
                    <w:jc w:val="left"/>
                    <w:tblInd w:w="0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</w:tblPr>
                  <w:tblGrid>
                    <w:gridCol w:w="7880"/>
                  </w:tblGrid>
                  <w:tr>
                    <w:trPr>
                      <w:trHeight w:val="1362" w:hRule="atLeast"/>
                    </w:trPr>
                    <w:tc>
                      <w:tcPr>
                        <w:tcW w:w="7880" w:type="dxa"/>
                        <w:tcBorders/>
                      </w:tcPr>
                      <w:p>
                        <w:pPr>
                          <w:pStyle w:val="Normal"/>
                          <w:jc w:val="both"/>
                          <w:rPr/>
                        </w:pPr>
                        <w:r>
                          <w:rPr>
                            <w:rStyle w:val="Style16"/>
                            <w:rFonts w:eastAsia="Times New Roman" w:cs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FFFFFF" w:val="clear"/>
                            <w:lang w:val="ru-RU" w:eastAsia="zh-CN" w:bidi="ar-SA"/>
                          </w:rPr>
                          <w:t>П</w:t>
                        </w:r>
                        <w:r>
                          <w:rPr>
                            <w:rStyle w:val="Style16"/>
                            <w:rFonts w:eastAsia="Times New Roman" w:cs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FFFFFF" w:val="clear"/>
                            <w:lang w:val="ru-RU" w:eastAsia="zh-CN" w:bidi="ar-SA"/>
                          </w:rPr>
                          <w:t>роект</w:t>
                        </w:r>
                        <w:r>
                          <w:rPr>
                            <w:rStyle w:val="Style16"/>
                            <w:rFonts w:eastAsia="Times New Roman" w:cs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FFFFFF" w:val="clear"/>
                            <w:lang w:val="ru-RU" w:eastAsia="zh-CN" w:bidi="ar-SA"/>
                          </w:rPr>
                          <w:t>а</w:t>
                        </w:r>
                        <w:r>
                          <w:rPr>
                            <w:rStyle w:val="Style16"/>
                            <w:rFonts w:eastAsia="Times New Roman" w:cs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FFFFFF" w:val="clear"/>
                            <w:lang w:val="ru-RU" w:eastAsia="zh-CN" w:bidi="ar-SA"/>
                          </w:rPr>
                          <w:t xml:space="preserve"> решения Совета муниципального образования Курганинский район «</w:t>
                        </w:r>
                        <w:r>
                          <w:rPr>
                            <w:rStyle w:val="Style16"/>
                            <w:rFonts w:eastAsia="Times New Roman" w:cs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FFFFFF" w:val="clear"/>
                            <w:lang w:val="ru-RU" w:eastAsia="zh-CN" w:bidi="ar-SA"/>
                          </w:rPr>
                          <w:t>Об установлении льготы по арендной плате при передаче в аренду муниципального имущества отдельным категориям арендаторов</w:t>
                        </w:r>
                        <w:r>
                          <w:rPr>
                            <w:rStyle w:val="Style16"/>
                            <w:rFonts w:eastAsia="Times New Roman" w:cs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FFFFFF" w:val="clear"/>
                            <w:lang w:val="ru-RU" w:eastAsia="zh-CN" w:bidi="ar-SA"/>
                          </w:rPr>
                          <w:t>»</w:t>
                        </w:r>
                        <w:r>
                          <w:rPr>
                            <w:rStyle w:val="Style16"/>
                            <w:rFonts w:eastAsia="Times New Roman" w:cs="Times New Roman"/>
                            <w:b w:val="false"/>
                            <w:bCs/>
                            <w:i w:val="false"/>
                            <w:iCs/>
                            <w:color w:val="000000"/>
                            <w:spacing w:val="2"/>
                            <w:kern w:val="0"/>
                            <w:sz w:val="28"/>
                            <w:szCs w:val="28"/>
                            <w:shd w:fill="FFFFFF" w:val="clear"/>
                            <w:lang w:val="ru-RU" w:eastAsia="zh-CN" w:bidi="ar-SA"/>
                          </w:rPr>
                          <w:t>.</w:t>
                        </w:r>
                      </w:p>
                    </w:tc>
                  </w:tr>
                </w:tbl>
                <w:p/>
              </w:tc>
            </w:tr>
          </w:tbl>
          <w:p>
            <w:pPr>
              <w:pStyle w:val="ConsPlusNonformat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    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Отдел инвестиций и стратегического развития администрации муниципального образования (далее - МО) Курганинский район, как уполномоченный орган по проведению оценки регулирующего воздействия (далее - ОРВ)  проектов муниципальных правовых актов (далее - МПА) администрации 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МО Курганинский район, рассмотрел поступивший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6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августа 2026 года проект</w:t>
            </w:r>
            <w:r>
              <w:rPr>
                <w:rStyle w:val="Style16"/>
                <w:rFonts w:eastAsia="Times New Roman" w:cs="Times New Roman" w:ascii="Times New Roman" w:hAnsi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 xml:space="preserve"> </w:t>
            </w:r>
            <w:r>
              <w:rPr>
                <w:rStyle w:val="Style16"/>
                <w:rFonts w:eastAsia="Times New Roman" w:cs="Times New Roman" w:ascii="Times New Roman" w:hAnsi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решения Совета муниципального образования Курганинский район «</w:t>
            </w:r>
            <w:r>
              <w:rPr>
                <w:rStyle w:val="Style16"/>
                <w:rFonts w:eastAsia="Times New Roman" w:cs="Times New Roman" w:ascii="Times New Roman" w:hAnsi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Об установлении льготы по арендной плате                         при передаче в аренду муниципального имущества отдельным категориям арендаторов</w:t>
            </w:r>
            <w:r>
              <w:rPr>
                <w:rStyle w:val="Style16"/>
                <w:rFonts w:eastAsia="Times New Roman" w:cs="Times New Roman" w:ascii="Times New Roman" w:hAnsi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»</w:t>
            </w:r>
            <w:r>
              <w:rPr>
                <w:rStyle w:val="Style16"/>
                <w:rFonts w:eastAsia="Times New Roman" w:cs="Times New Roman" w:ascii="Times New Roman" w:hAnsi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zh-CN" w:bidi="ar-SA"/>
              </w:rPr>
              <w:t xml:space="preserve"> </w:t>
            </w:r>
            <w:r>
              <w:rPr>
                <w:rStyle w:val="Style16"/>
                <w:rFonts w:eastAsia="Times New Roman" w:cs="Times New Roman" w:ascii="Times New Roman" w:hAnsi="Times New Roman"/>
                <w:bCs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(далее - разработчик) и сообщает следующее.</w:t>
            </w:r>
          </w:p>
          <w:p>
            <w:pPr>
              <w:pStyle w:val="Normal"/>
              <w:tabs>
                <w:tab w:val="clear" w:pos="709"/>
                <w:tab w:val="left" w:pos="720" w:leader="none"/>
                <w:tab w:val="left" w:pos="1020" w:leader="none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В соответствии с Порядком </w:t>
            </w:r>
            <w:r>
              <w:rPr>
                <w:rStyle w:val="Style12"/>
                <w:rFonts w:eastAsia="Times New Roman" w:cs="Times New Roman"/>
                <w:b w:val="false"/>
                <w:bCs/>
                <w:i w:val="false"/>
                <w:iCs w:val="false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проведения ОРВ проектов </w:t>
            </w:r>
            <w:r>
              <w:rPr>
                <w:rStyle w:val="Style12"/>
                <w:rFonts w:eastAsia="Times New Roman" w:cs="Times New Roman"/>
                <w:b w:val="false"/>
                <w:bCs w:val="false"/>
                <w:i w:val="false"/>
                <w:iCs w:val="false"/>
                <w:color w:val="auto"/>
                <w:kern w:val="0"/>
                <w:sz w:val="28"/>
                <w:szCs w:val="28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ПА</w:t>
            </w:r>
            <w:r>
              <w:rPr>
                <w:rStyle w:val="Style12"/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Style w:val="Style12"/>
                <w:rFonts w:eastAsia="Times New Roman" w:cs="Times New Roman"/>
                <w:b w:val="false"/>
                <w:bCs/>
                <w:i w:val="false"/>
                <w:iCs w:val="false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администрации МО  </w:t>
            </w:r>
            <w:r>
              <w:rPr>
                <w:rFonts w:eastAsia="Times New Roman" w:cs="Times New Roman"/>
                <w:bCs/>
                <w:i w:val="false"/>
                <w:iCs w:val="false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Курганинский район,  устанавливающих    новые          или      изменяющих ранее    </w:t>
            </w: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auto"/>
                <w:spacing w:val="2"/>
                <w:kern w:val="0"/>
                <w:sz w:val="28"/>
                <w:szCs w:val="28"/>
                <w:lang w:val="ru-RU" w:eastAsia="ru-RU" w:bidi="ar-SA"/>
              </w:rPr>
              <w:t>предусмотренные      МПА   обязательные    требования для       субъектов предпринимательской и    иной     экономической      деятельности,        обязанности для        субъектов           инвестиционной деятельности,           утверждённым             постановлением       администрации</w:t>
            </w:r>
          </w:p>
          <w:p>
            <w:pPr>
              <w:pStyle w:val="Normal"/>
              <w:tabs>
                <w:tab w:val="clear" w:pos="709"/>
                <w:tab w:val="left" w:pos="720" w:leader="none"/>
                <w:tab w:val="left" w:pos="1020" w:leader="none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auto"/>
                <w:spacing w:val="2"/>
                <w:kern w:val="0"/>
                <w:sz w:val="28"/>
                <w:szCs w:val="28"/>
                <w:lang w:val="ru-RU" w:eastAsia="ru-RU" w:bidi="ar-SA"/>
              </w:rPr>
              <w:t xml:space="preserve">МО         </w:t>
            </w: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Курганинский            район         от      10 декабря 2025   года №   1202</w:t>
            </w:r>
          </w:p>
          <w:p>
            <w:pPr>
              <w:pStyle w:val="Normal"/>
              <w:tabs>
                <w:tab w:val="clear" w:pos="709"/>
                <w:tab w:val="left" w:pos="720" w:leader="none"/>
                <w:tab w:val="left" w:pos="1020" w:leader="none"/>
              </w:tabs>
              <w:spacing w:lineRule="auto" w:line="240"/>
              <w:ind w:hanging="0" w:left="0" w:right="0"/>
              <w:jc w:val="both"/>
              <w:rPr/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«Об    утверждении      Порядка проведения       оценки       регулирующего воздействия  проектов муниципальных правовых  актов   муниципального образования  Курганинский район, устанавливающих новые или  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деятельности» (далее -</w:t>
            </w: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olor w:val="auto"/>
                <w:spacing w:val="2"/>
                <w:kern w:val="0"/>
                <w:sz w:val="28"/>
                <w:szCs w:val="28"/>
                <w:lang w:val="ru-RU" w:eastAsia="ru-RU" w:bidi="ar-SA"/>
              </w:rPr>
              <w:t xml:space="preserve"> Порядок) проект подлежит проведению ОРВ.</w:t>
            </w:r>
          </w:p>
        </w:tc>
      </w:tr>
      <w:tr>
        <w:trPr>
          <w:trHeight w:val="11893" w:hRule="atLeast"/>
        </w:trPr>
        <w:tc>
          <w:tcPr>
            <w:tcW w:w="9808" w:type="dxa"/>
            <w:tcBorders/>
          </w:tcPr>
          <w:p>
            <w:pPr>
              <w:pStyle w:val="Normal"/>
              <w:tabs>
                <w:tab w:val="clear" w:pos="709"/>
                <w:tab w:val="left" w:pos="732" w:leader="none"/>
              </w:tabs>
              <w:spacing w:lineRule="auto" w:line="240"/>
              <w:ind w:firstLine="743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  результатам   рассмотрения   установлено, что при подготовке проекта требования Порядка разработчиком соблюдены.</w:t>
            </w:r>
          </w:p>
          <w:p>
            <w:pPr>
              <w:pStyle w:val="Normal"/>
              <w:tabs>
                <w:tab w:val="clear" w:pos="709"/>
                <w:tab w:val="left" w:pos="732" w:leader="none"/>
              </w:tabs>
              <w:spacing w:lineRule="auto" w:line="240"/>
              <w:ind w:firstLine="743" w:left="0" w:right="0"/>
              <w:jc w:val="both"/>
              <w:rPr/>
            </w:pPr>
            <w:r>
              <w:rPr>
                <w:sz w:val="28"/>
                <w:szCs w:val="28"/>
                <w:shd w:fill="auto" w:val="clear"/>
              </w:rPr>
              <w:t>Проект на</w:t>
            </w:r>
            <w:r>
              <w:rPr>
                <w:sz w:val="28"/>
                <w:szCs w:val="28"/>
              </w:rPr>
              <w:t xml:space="preserve">правлен разработчиком для проведения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ОРВ</w:t>
            </w:r>
            <w:r>
              <w:rPr>
                <w:sz w:val="28"/>
                <w:szCs w:val="28"/>
              </w:rPr>
              <w:t xml:space="preserve"> впервые.</w:t>
            </w:r>
          </w:p>
          <w:p>
            <w:pPr>
              <w:pStyle w:val="Normal"/>
              <w:spacing w:lineRule="auto" w:line="240"/>
              <w:ind w:firstLine="743" w:left="0" w:right="0"/>
              <w:jc w:val="both"/>
              <w:rPr/>
            </w:pPr>
            <w:r>
              <w:rPr>
                <w:sz w:val="28"/>
                <w:szCs w:val="28"/>
                <w:shd w:fill="auto" w:val="clear"/>
              </w:rPr>
              <w:t>Проведён</w:t>
            </w:r>
            <w:r>
              <w:rPr>
                <w:sz w:val="28"/>
                <w:szCs w:val="28"/>
              </w:rPr>
              <w:t xml:space="preserve"> анализ результатов исследований, проводимых регулирующим органом с учётом установления полноты рассмотрения регулирующим органом всех возможных вариантов правового регулирования выявленной проблемы,               а также эффективности способов решения проблемы в сравнении                                 с действующим на момент проведения процедуры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ОРВ</w:t>
            </w:r>
            <w:r>
              <w:rPr>
                <w:sz w:val="28"/>
                <w:szCs w:val="28"/>
              </w:rPr>
              <w:t xml:space="preserve"> правовым регулированием рассматриваемой сферы общественных отношений.</w:t>
            </w:r>
          </w:p>
          <w:p>
            <w:pPr>
              <w:pStyle w:val="Normal"/>
              <w:spacing w:lineRule="auto" w:line="240"/>
              <w:ind w:firstLine="743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Разработчиком предложен один вариант правового регулирования - принятие </w:t>
            </w:r>
            <w:r>
              <w:rPr>
                <w:rStyle w:val="Style16"/>
                <w:rFonts w:eastAsia="Times New Roman" w:cs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решения Совета муниципального образования Курганинский район                       «</w:t>
            </w:r>
            <w:r>
              <w:rPr>
                <w:rStyle w:val="Style16"/>
                <w:rFonts w:eastAsia="Times New Roman" w:cs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Об установлении льготы по арендной плате при передаче в аренду муниципального имущества отдельным категориям арендаторов</w:t>
            </w:r>
            <w:r>
              <w:rPr>
                <w:rStyle w:val="Style16"/>
                <w:rFonts w:eastAsia="Times New Roman" w:cs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»</w:t>
            </w:r>
            <w:r>
              <w:rPr>
                <w:rStyle w:val="Style16"/>
                <w:sz w:val="28"/>
                <w:szCs w:val="28"/>
              </w:rPr>
              <w:t>.</w:t>
            </w:r>
          </w:p>
          <w:p>
            <w:pPr>
              <w:pStyle w:val="Normal"/>
              <w:spacing w:lineRule="auto" w:line="240"/>
              <w:ind w:firstLine="743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качестве альтернативы рассмотрен вариант непринятия МПА.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/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8"/>
                <w:szCs w:val="28"/>
                <w:shd w:fill="FFFFFF" w:val="clear"/>
              </w:rPr>
              <w:t xml:space="preserve">    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sz w:val="28"/>
                <w:szCs w:val="28"/>
                <w:shd w:fill="FFFFFF" w:val="clear"/>
              </w:rPr>
              <w:t>Проведено сравнение указанных вариантов правового регулирования.        Выбор варианта правового регулирования сделан исходя из оценки возможности достижения заявленной цели регулирования и оценки рисков нас</w:t>
            </w: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  <w:shd w:fill="FFFFFF" w:val="clear"/>
              </w:rPr>
              <w:t>тупления неблагоприятных последствий.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b w:val="false"/>
                <w:bCs w:val="false"/>
                <w:i w:val="false"/>
                <w:i w:val="false"/>
                <w:iCs w:val="false"/>
                <w:sz w:val="28"/>
                <w:szCs w:val="28"/>
                <w:shd w:fill="FFFFFF" w:val="clear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  <w:shd w:fill="FFFFFF" w:val="clear"/>
              </w:rPr>
              <w:t xml:space="preserve">         </w:t>
            </w: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  <w:shd w:fill="FFFFFF" w:val="clear"/>
              </w:rPr>
              <w:t>Проведена оценка эффективности предложенных регулирующим органом вариантов правового регулирования, основанных на сведениях, содержащихся                    в соответствующих разделах сводного отчёта и установлено следующее: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/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  <w:shd w:fill="FFFFFF" w:val="clear"/>
              </w:rPr>
              <w:t xml:space="preserve">     </w:t>
            </w: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  <w:shd w:fill="FFFFFF" w:val="clear"/>
              </w:rPr>
              <w:t xml:space="preserve">- проблема, </w:t>
            </w:r>
            <w:r>
              <w:rPr>
                <w:sz w:val="28"/>
                <w:szCs w:val="28"/>
              </w:rPr>
              <w:t>на решение которой направлено правовое регулирование, сформулирована точно;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- определены потенциальные адресаты предполагаемого правового регулирования.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Ф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изические лица, индивидуальные предприниматели, юридические лица, физические лица, не являющиеся индивидуальными предпринимателями и применяющие специальный налоговый режим «Налог         на профессиональный доход», основной вид экономической деятельности которых -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розничная торговля книгами, газетами и журналами и проведение культурно-просветительных мероприятий.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Количественная оценка участников не ограничена. Определить точное количество не представляется возможным                в связи с заявительным характером предлагаемого правового регулирования;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>-  цель предлагаемого правового регулирования разработчиком определена</w:t>
            </w:r>
          </w:p>
          <w:p>
            <w:pPr>
              <w:pStyle w:val="Normal"/>
              <w:spacing w:lineRule="auto" w:line="240"/>
              <w:ind w:hanging="0" w:left="0" w:right="0"/>
              <w:jc w:val="left"/>
              <w:rPr/>
            </w:pPr>
            <w:r>
              <w:rPr>
                <w:sz w:val="28"/>
                <w:szCs w:val="28"/>
                <w:shd w:fill="auto" w:val="clear"/>
              </w:rPr>
              <w:t>объ</w:t>
            </w:r>
            <w:r>
              <w:rPr>
                <w:sz w:val="28"/>
                <w:szCs w:val="28"/>
              </w:rPr>
              <w:t>ективно;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- практическая    реализуемость     заявленных     целей     предполагаемого правового регулирования будет достигнута;     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-  сроки     достижения      заявленной     цели  -  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с    даты    официального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/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публикования решения</w:t>
            </w:r>
            <w:r>
              <w:rPr>
                <w:rStyle w:val="111"/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, в мониторинге достижения цели</w:t>
            </w:r>
            <w:r>
              <w:rPr>
                <w:rStyle w:val="111"/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</w:t>
            </w:r>
            <w:r>
              <w:rPr>
                <w:rStyle w:val="111"/>
                <w:sz w:val="28"/>
                <w:szCs w:val="28"/>
              </w:rPr>
              <w:t>не нуждается</w:t>
            </w:r>
            <w:r>
              <w:rPr>
                <w:sz w:val="28"/>
                <w:szCs w:val="28"/>
              </w:rPr>
              <w:t>;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- оценка    дополнительных   расходов     и     доходов   потенциальных   лиц, участвующих  в   правоотношениях,   подлежащих   правовому  регулированию, и расходов местного бюджета, связанных с введением предлагаемого правового регулирования определена корректно;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- по мнению р</w:t>
            </w:r>
            <w:r>
              <w:rPr>
                <w:sz w:val="28"/>
                <w:szCs w:val="28"/>
                <w:shd w:fill="auto" w:val="clear"/>
              </w:rPr>
              <w:t>азработч</w:t>
            </w:r>
            <w:r>
              <w:rPr>
                <w:sz w:val="28"/>
                <w:szCs w:val="28"/>
              </w:rPr>
              <w:t>ика при принятии предлагаемого правового регулирования неблагоприятные последствия не наступят.</w:t>
            </w:r>
          </w:p>
          <w:p>
            <w:pPr>
              <w:pStyle w:val="Normal"/>
              <w:spacing w:lineRule="auto" w:line="240"/>
              <w:ind w:firstLine="743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Выявленная проблема может быть решена исключительно посредством п</w:t>
            </w:r>
            <w:r>
              <w:rPr>
                <w:sz w:val="28"/>
                <w:szCs w:val="28"/>
                <w:shd w:fill="FFFFFF" w:val="clear"/>
              </w:rPr>
              <w:t>ринятия предлагаемого правового регулирования.</w:t>
            </w:r>
          </w:p>
          <w:p>
            <w:pPr>
              <w:pStyle w:val="Normal"/>
              <w:shd w:val="clear" w:fill="FFFFFF"/>
              <w:spacing w:lineRule="auto" w:line="240"/>
              <w:ind w:firstLine="743" w:left="0" w:right="0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    </w:t>
            </w:r>
            <w:r>
              <w:rPr>
                <w:sz w:val="28"/>
                <w:szCs w:val="28"/>
                <w:shd w:fill="FFFFFF" w:val="clear"/>
              </w:rPr>
              <w:t>В соответствии с   Порядком установлено следующее:</w:t>
            </w:r>
          </w:p>
          <w:p>
            <w:pPr>
              <w:pStyle w:val="Normal"/>
              <w:ind w:firstLine="743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1. Потенциальные    группы    участников    общественных     отношений, интересы  которых    могут   быть   затронуты   правовым регулированием в части прав   и   обязанностей    субъектов    предпринимательской и инвестицион</w:t>
            </w:r>
            <w:r>
              <w:rPr>
                <w:sz w:val="28"/>
                <w:szCs w:val="28"/>
                <w:shd w:fill="auto" w:val="clear"/>
              </w:rPr>
              <w:t>ной деятельнос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ти </w:t>
            </w:r>
            <w:r>
              <w:rPr>
                <w:sz w:val="28"/>
                <w:szCs w:val="28"/>
                <w:shd w:fill="auto" w:val="clear"/>
              </w:rPr>
              <w:t>-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ф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изические лица, индивидуальные предприниматели, юридические лица, физические лица,                     не являющиеся индивидуальными предпринимателями и применяющие специальный налоговый режим «Налог на профессиональный доход», основной вид экономической деятельности которых -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розничная торговля книгами, газетами и журналами и проведение культурно-просветительных мероприятий.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 До настоящего времени арендаторы, основной вид экономической деятельности которых -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розничная торговля книгами, газетами и журналами и проведение культурно-просветительных мероприятий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 за предоставлением муниципального имущества в аренду не обращались.</w:t>
            </w:r>
          </w:p>
          <w:p>
            <w:pPr>
              <w:pStyle w:val="Normal"/>
              <w:ind w:firstLine="743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2.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eastAsia="DejaVu Sans" w:cs="Times New Roman"/>
                <w:bCs/>
                <w:color w:themeColor="text1"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П</w:t>
            </w:r>
            <w:r>
              <w:rPr>
                <w:sz w:val="28"/>
                <w:szCs w:val="28"/>
              </w:rPr>
              <w:t>ро</w:t>
            </w:r>
            <w:r>
              <w:rPr>
                <w:sz w:val="28"/>
                <w:szCs w:val="28"/>
                <w:shd w:fill="auto" w:val="clear"/>
              </w:rPr>
              <w:t>блема, н</w:t>
            </w:r>
            <w:r>
              <w:rPr>
                <w:sz w:val="28"/>
                <w:szCs w:val="28"/>
              </w:rPr>
              <w:t>а решение которой направлено правовое регулирование:</w:t>
            </w:r>
          </w:p>
          <w:tbl>
            <w:tblPr>
              <w:tblW w:w="968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80"/>
            </w:tblGrid>
            <w:tr>
              <w:trPr>
                <w:trHeight w:val="3623" w:hRule="atLeast"/>
              </w:trPr>
              <w:tc>
                <w:tcPr>
                  <w:tcW w:w="9680" w:type="dxa"/>
                  <w:tcBorders/>
                </w:tcPr>
                <w:p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Style w:val="Style16"/>
                      <w:rFonts w:eastAsia="DejaVu Sans" w:cs="Times New Roman" w:ascii="Times New Roman" w:hAnsi="Times New Roman" w:eastAsiaTheme="minorEastAsia"/>
                      <w:b w:val="false"/>
                      <w:bCs/>
                      <w:i w:val="false"/>
                      <w:iCs/>
                      <w:color w:val="000000"/>
                      <w:spacing w:val="2"/>
                      <w:kern w:val="0"/>
                      <w:sz w:val="28"/>
                      <w:szCs w:val="28"/>
                      <w:shd w:fill="auto" w:val="clear"/>
                      <w:lang w:val="ru-RU" w:eastAsia="ru-RU" w:bidi="ar-SA"/>
                    </w:rPr>
                    <w:t>отсутствие нормативного правового акта, устанавливающего льготу                           по арендной плате при передаче в аренду муниципального имущества отдельным категориям арендаторов.</w:t>
                  </w:r>
                </w:p>
                <w:p>
                  <w:pPr>
                    <w:pStyle w:val="Normal"/>
                    <w:ind w:firstLine="743" w:left="0" w:right="0"/>
                    <w:jc w:val="both"/>
                    <w:rPr/>
                  </w:pPr>
                  <w:r>
                    <w:rPr>
                      <w:rStyle w:val="Style16"/>
                      <w:sz w:val="28"/>
                      <w:szCs w:val="28"/>
                    </w:rPr>
                    <w:t xml:space="preserve">  </w:t>
                  </w:r>
                  <w:r>
                    <w:rPr>
                      <w:rStyle w:val="Style16"/>
                      <w:sz w:val="28"/>
                      <w:szCs w:val="28"/>
                    </w:rPr>
                    <w:t>Указанная проблема может быть решена исключительно посредством принятия предложенного документа.</w:t>
                  </w:r>
                </w:p>
                <w:p>
                  <w:pPr>
                    <w:pStyle w:val="Normal"/>
                    <w:ind w:hanging="0" w:left="0" w:right="0"/>
                    <w:jc w:val="both"/>
                    <w:rPr/>
                  </w:pPr>
                  <w:r>
                    <w:rPr>
                      <w:rStyle w:val="Style16"/>
                      <w:sz w:val="28"/>
                      <w:szCs w:val="28"/>
                    </w:rPr>
                    <w:t xml:space="preserve">          </w:t>
                  </w:r>
                  <w:r>
                    <w:rPr>
                      <w:rStyle w:val="Style16"/>
                      <w:sz w:val="28"/>
                      <w:szCs w:val="28"/>
                    </w:rPr>
                    <w:t xml:space="preserve">3. </w:t>
                  </w:r>
                  <w:r>
                    <w:rPr>
                      <w:rStyle w:val="Style16"/>
                      <w:rFonts w:eastAsia="Times New Roman" w:cs="Times New Roman"/>
                      <w:color w:val="auto"/>
                      <w:kern w:val="0"/>
                      <w:sz w:val="28"/>
                      <w:szCs w:val="28"/>
                      <w:lang w:val="ru-RU" w:eastAsia="ru-RU" w:bidi="ar-SA"/>
                    </w:rPr>
                    <w:t>П</w:t>
                  </w:r>
                  <w:r>
                    <w:rPr>
                      <w:rStyle w:val="Style16"/>
                      <w:rFonts w:eastAsia="Times New Roman" w:cs="Times New Roman"/>
                      <w:color w:val="000000"/>
                      <w:kern w:val="0"/>
                      <w:sz w:val="28"/>
                      <w:szCs w:val="28"/>
                      <w:shd w:fill="auto" w:val="clear"/>
                      <w:lang w:val="ru-RU" w:eastAsia="ru-RU" w:bidi="ar-SA"/>
                    </w:rPr>
                    <w:t xml:space="preserve">роект   </w:t>
                  </w:r>
                  <w:r>
                    <w:rPr>
                      <w:rStyle w:val="Style16"/>
                      <w:rFonts w:eastAsia="Times New Roman" w:cs="Times New Roman"/>
                      <w:color w:val="auto"/>
                      <w:kern w:val="0"/>
                      <w:sz w:val="28"/>
                      <w:szCs w:val="28"/>
                      <w:lang w:val="ru-RU" w:eastAsia="ru-RU" w:bidi="ar-SA"/>
                    </w:rPr>
                    <w:t>разра</w:t>
                  </w:r>
                  <w:r>
                    <w:rPr>
                      <w:rStyle w:val="Style16"/>
                      <w:rFonts w:eastAsia="Times New Roman" w:cs="Times New Roman"/>
                      <w:color w:val="000000"/>
                      <w:kern w:val="0"/>
                      <w:sz w:val="28"/>
                      <w:szCs w:val="28"/>
                      <w:shd w:fill="auto" w:val="clear"/>
                      <w:lang w:val="ru-RU" w:eastAsia="ru-RU" w:bidi="ar-SA"/>
                    </w:rPr>
                    <w:t xml:space="preserve">ботан в  целях  </w:t>
                  </w:r>
                  <w:r>
                    <w:rPr>
                      <w:rStyle w:val="111"/>
                      <w:rFonts w:eastAsia="Times New Roman" w:cs="Times New Roman"/>
                      <w:b w:val="false"/>
                      <w:bCs/>
                      <w:i w:val="false"/>
                      <w:iCs/>
                      <w:kern w:val="0"/>
                      <w:sz w:val="28"/>
                      <w:szCs w:val="28"/>
                      <w:shd w:fill="auto" w:val="clear"/>
                      <w:lang w:bidi="ar-SA"/>
                    </w:rPr>
                    <w:t>приняти</w:t>
                  </w:r>
                  <w:r>
                    <w:rPr>
                      <w:rStyle w:val="111"/>
                      <w:rFonts w:eastAsia="Times New Roman" w:cs="Times New Roman"/>
                      <w:b w:val="false"/>
                      <w:bCs/>
                      <w:i w:val="false"/>
                      <w:iCs/>
                      <w:kern w:val="0"/>
                      <w:sz w:val="28"/>
                      <w:szCs w:val="28"/>
                      <w:shd w:fill="auto" w:val="clear"/>
                      <w:lang w:bidi="ar-SA"/>
                    </w:rPr>
                    <w:t>я</w:t>
                  </w:r>
                  <w:r>
                    <w:rPr>
                      <w:rStyle w:val="111"/>
                      <w:rFonts w:eastAsia="Times New Roman" w:cs="Times New Roman"/>
                      <w:b w:val="false"/>
                      <w:bCs/>
                      <w:i w:val="false"/>
                      <w:iCs/>
                      <w:kern w:val="0"/>
                      <w:sz w:val="28"/>
                      <w:szCs w:val="28"/>
                      <w:shd w:fill="auto" w:val="clear"/>
                      <w:lang w:bidi="ar-SA"/>
                    </w:rPr>
                    <w:t xml:space="preserve"> нормативного правового акта, устанавливающего льготу по аре</w:t>
                  </w:r>
                  <w:r>
                    <w:rPr>
                      <w:rStyle w:val="111"/>
                      <w:rFonts w:eastAsia="Times New Roman" w:cs="Times New Roman"/>
                      <w:b w:val="false"/>
                      <w:bCs/>
                      <w:i w:val="false"/>
                      <w:iCs/>
                      <w:kern w:val="0"/>
                      <w:sz w:val="28"/>
                      <w:szCs w:val="28"/>
                      <w:shd w:fill="auto" w:val="clear"/>
                      <w:lang w:bidi="ar-SA"/>
                    </w:rPr>
                    <w:t>ндной плате при передаче в аренду муниципального имущества отдельным категориям арендаторов.</w:t>
                  </w:r>
                </w:p>
                <w:p>
                  <w:pPr>
                    <w:pStyle w:val="Normal"/>
                    <w:ind w:firstLine="743" w:left="0" w:right="0"/>
                    <w:jc w:val="both"/>
                    <w:rPr/>
                  </w:pPr>
                  <w:r>
                    <w:rPr>
                      <w:rStyle w:val="Style16"/>
                      <w:sz w:val="28"/>
                      <w:szCs w:val="28"/>
                    </w:rPr>
                    <w:t>Вышеуказанные цели соответствуют принципам правового регулирования, установленным законодательством Российской Федерации               и     Краснодарского края.</w:t>
                  </w:r>
                </w:p>
              </w:tc>
            </w:tr>
          </w:tbl>
          <w:p>
            <w:pPr>
              <w:pStyle w:val="Normal"/>
              <w:ind w:firstLine="743" w:left="0" w:right="0"/>
              <w:jc w:val="both"/>
              <w:rPr/>
            </w:pPr>
            <w:bookmarkStart w:id="0" w:name="_Hlk1212346144"/>
            <w:bookmarkEnd w:id="0"/>
            <w:r>
              <w:rPr>
                <w:sz w:val="28"/>
                <w:szCs w:val="28"/>
              </w:rPr>
              <w:t xml:space="preserve">4. </w:t>
            </w:r>
            <w:r>
              <w:rPr>
                <w:rStyle w:val="Style16"/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Проект МПА содержит положения, устанавливающие новые обязательные    требования     для      субъектов     предпринимательской и иной</w:t>
            </w:r>
          </w:p>
          <w:p>
            <w:pPr>
              <w:pStyle w:val="Normal"/>
              <w:ind w:hanging="0" w:left="0" w:right="0"/>
              <w:jc w:val="both"/>
              <w:rPr/>
            </w:pPr>
            <w:r>
              <w:rPr>
                <w:rStyle w:val="Style16"/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экономич</w:t>
            </w:r>
            <w:r>
              <w:rPr>
                <w:rStyle w:val="Style16"/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еской    деятельности,    обязанности  для   субъектов инвестиционной </w:t>
            </w:r>
          </w:p>
          <w:p>
            <w:pPr>
              <w:pStyle w:val="Normal"/>
              <w:ind w:hanging="0" w:left="0" w:right="0"/>
              <w:jc w:val="both"/>
              <w:rPr/>
            </w:pPr>
            <w:r>
              <w:rPr>
                <w:rStyle w:val="Style16"/>
                <w:rFonts w:eastAsia="Times New Roman" w:cs="Times New Roman"/>
                <w:color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деятельности, п</w:t>
            </w:r>
            <w:r>
              <w:rPr>
                <w:rStyle w:val="Style16"/>
                <w:rFonts w:eastAsia="DejaVu Sans" w:cs="Times New Roman"/>
                <w:bCs/>
                <w:color w:themeColor="text1"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роектом</w:t>
            </w:r>
            <w:r>
              <w:rPr>
                <w:rStyle w:val="Style16"/>
                <w:rFonts w:eastAsia="DejaVu Sans" w:cs="Times New Roman"/>
                <w:bCs/>
                <w:color w:themeColor="text1"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 МПА </w:t>
            </w:r>
            <w:r>
              <w:rPr>
                <w:rStyle w:val="Style16"/>
                <w:rFonts w:eastAsia="DejaVu Sans" w:cs="Times New Roman"/>
                <w:bCs/>
                <w:color w:themeColor="text1"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предлагается</w:t>
            </w:r>
            <w:r>
              <w:rPr>
                <w:rStyle w:val="Style16"/>
                <w:rFonts w:eastAsia="DejaVu Sans" w:cs="Times New Roman"/>
                <w:bCs/>
                <w:color w:themeColor="text1"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Style w:val="Style16"/>
                <w:rFonts w:eastAsia="DejaVu Sans" w:cs="Times New Roman"/>
                <w:bCs/>
                <w:color w:themeColor="text1"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у</w:t>
            </w:r>
            <w:r>
              <w:rPr>
                <w:rStyle w:val="Style16"/>
                <w:rFonts w:eastAsia="DejaVu Sans" w:cs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стан</w:t>
            </w:r>
            <w:r>
              <w:rPr>
                <w:rStyle w:val="Style16"/>
                <w:rFonts w:eastAsia="DejaVu Sans" w:cs="Times New Roman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овл</w:t>
            </w:r>
            <w:r>
              <w:rPr>
                <w:rStyle w:val="Style16"/>
                <w:rFonts w:eastAsia="DejaVu Sans" w:cs="Times New Roman" w:eastAsiaTheme="minorEastAsia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ение</w:t>
            </w:r>
            <w:r>
              <w:rPr>
                <w:rStyle w:val="Style16"/>
                <w:rFonts w:eastAsia="DejaVu Sans" w:cs="Times New Roman" w:eastAsiaTheme="minorEastAsia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 льгот</w:t>
            </w:r>
            <w:r>
              <w:rPr>
                <w:rStyle w:val="Style16"/>
                <w:rFonts w:eastAsia="DejaVu Sans" w:cs="Times New Roman" w:eastAsiaTheme="minorEastAsia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ы</w:t>
            </w:r>
            <w:r>
              <w:rPr>
                <w:rStyle w:val="Style16"/>
                <w:rFonts w:eastAsia="DejaVu Sans" w:cs="Times New Roman" w:eastAsiaTheme="minorEastAsia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 xml:space="preserve">   </w:t>
            </w:r>
            <w:r>
              <w:rPr>
                <w:rStyle w:val="Style16"/>
                <w:rFonts w:eastAsia="DejaVu Sans" w:cs="Times New Roman" w:eastAsiaTheme="minorEastAsia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п</w:t>
            </w:r>
            <w:r>
              <w:rPr>
                <w:rStyle w:val="Style16"/>
                <w:rFonts w:eastAsia="DejaVu Sans" w:cs="Times New Roman" w:eastAsiaTheme="minorEastAsia"/>
                <w:b w:val="false"/>
                <w:bCs/>
                <w:i w:val="false"/>
                <w:iCs/>
                <w:color w:val="000000"/>
                <w:spacing w:val="2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о арендной плате при передаче в аренду муниципального имущества отдельным категориям арендаторов</w:t>
            </w:r>
            <w:r>
              <w:rPr>
                <w:rStyle w:val="Style16"/>
                <w:rFonts w:eastAsia="DejaVu Sans" w:cs="Times New Roman"/>
                <w:bCs/>
                <w:color w:themeColor="text1" w:val="000000"/>
                <w:kern w:val="0"/>
                <w:sz w:val="28"/>
                <w:szCs w:val="28"/>
                <w:shd w:fill="auto" w:val="clear"/>
                <w:lang w:val="ru-RU" w:eastAsia="ru-RU" w:bidi="ar-SA"/>
              </w:rPr>
              <w:t>.</w:t>
            </w:r>
          </w:p>
          <w:p>
            <w:pPr>
              <w:pStyle w:val="Normal"/>
              <w:tabs>
                <w:tab w:val="clear" w:pos="709"/>
                <w:tab w:val="left" w:pos="993" w:leader="none"/>
              </w:tabs>
              <w:spacing w:lineRule="auto" w:line="240"/>
              <w:ind w:firstLine="743" w:left="0" w:right="0"/>
              <w:jc w:val="both"/>
              <w:rPr/>
            </w:pPr>
            <w:r>
              <w:rPr>
                <w:sz w:val="28"/>
                <w:szCs w:val="28"/>
              </w:rPr>
              <w:t>5. Риски  недостижения   це</w:t>
            </w:r>
            <w:r>
              <w:rPr>
                <w:sz w:val="28"/>
                <w:szCs w:val="28"/>
                <w:shd w:fill="FFFFFF" w:val="clear"/>
              </w:rPr>
              <w:t>лей     правового регу</w:t>
            </w:r>
            <w:r>
              <w:rPr>
                <w:sz w:val="28"/>
                <w:szCs w:val="28"/>
              </w:rPr>
              <w:t xml:space="preserve">лирования, а  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также</w:t>
            </w:r>
            <w:r>
              <w:rPr>
                <w:sz w:val="28"/>
                <w:szCs w:val="28"/>
              </w:rPr>
              <w:t xml:space="preserve">        возможные         негативные       последствия от введения правового регулирования для экономического развития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МО</w:t>
            </w:r>
            <w:r>
              <w:rPr>
                <w:sz w:val="28"/>
                <w:szCs w:val="28"/>
              </w:rPr>
              <w:t xml:space="preserve"> Курганинский район </w:t>
            </w:r>
            <w:r>
              <w:rPr>
                <w:rFonts w:cs="Times New Roman CYR" w:ascii="Times New Roman CYR" w:hAnsi="Times New Roman CYR"/>
                <w:color w:val="00000A"/>
                <w:sz w:val="28"/>
                <w:szCs w:val="28"/>
              </w:rPr>
              <w:t>отсутствуют.</w:t>
            </w:r>
          </w:p>
          <w:p>
            <w:pPr>
              <w:pStyle w:val="Normal"/>
              <w:tabs>
                <w:tab w:val="clear" w:pos="709"/>
                <w:tab w:val="left" w:pos="993" w:leader="none"/>
              </w:tabs>
              <w:spacing w:lineRule="auto" w:line="240"/>
              <w:ind w:firstLine="743" w:left="0" w:right="0"/>
              <w:jc w:val="both"/>
              <w:rPr/>
            </w:pPr>
            <w:r>
              <w:rPr>
                <w:rFonts w:cs="Times New Roman CYR" w:ascii="Times New Roman CYR" w:hAnsi="Times New Roman CYR"/>
                <w:color w:val="00000A"/>
                <w:sz w:val="28"/>
                <w:szCs w:val="28"/>
              </w:rPr>
              <w:t xml:space="preserve">6. </w:t>
            </w:r>
            <w:r>
              <w:rPr>
                <w:rFonts w:eastAsia="DejaVu Sans" w:cs="Times New Roman CYR" w:ascii="Times New Roman CYR" w:hAnsi="Times New Roman CYR"/>
                <w:color w:val="00000A"/>
                <w:sz w:val="28"/>
                <w:szCs w:val="28"/>
                <w:shd w:fill="auto" w:val="clear"/>
              </w:rPr>
              <w:t xml:space="preserve">Дополнительные расходы бюджета МО Курганинский   район,                             а  также </w:t>
            </w:r>
            <w:r>
              <w:rPr>
                <w:rFonts w:eastAsia="DejaVu Sans" w:cs="Times New Roman" w:ascii="Times New Roman CYR" w:hAnsi="Times New Roman CYR"/>
                <w:b w:val="false"/>
                <w:bCs w:val="false"/>
                <w:i w:val="false"/>
                <w:iCs w:val="false"/>
                <w:color w:val="00000A"/>
                <w:sz w:val="28"/>
                <w:szCs w:val="28"/>
                <w:shd w:fill="auto" w:val="clear"/>
              </w:rPr>
              <w:t>расходы субъектов предпринимательской и инвестиционной деятельности, понесенные         от          регулирующего      воздействия предлагаемого проекта МПА не предполагаются.  Дополнительные расходы потенциальных адресатов предлагаемого правового регулирования,                            по мнению разработчика не предполагаются</w:t>
            </w:r>
            <w:r>
              <w:rPr>
                <w:rFonts w:eastAsia="DejaVu Sans" w:cs="Times New Roman" w:ascii="Times New Roman CYR" w:hAnsi="Times New Roman CYR"/>
                <w:b w:val="false"/>
                <w:bCs w:val="false"/>
                <w:i w:val="false"/>
                <w:iCs w:val="false"/>
                <w:color w:val="000000"/>
                <w:sz w:val="28"/>
                <w:szCs w:val="28"/>
                <w:shd w:fill="auto" w:val="clear"/>
              </w:rPr>
              <w:t>. Дополнительные издержки могут возникнуть только в случае выявления по результатам проверки нарушений                        и привлечения лиц, допустивших выявленные нарушения, к административной ответственности , установленной действующим законодательством Российской Федерации.</w:t>
            </w:r>
          </w:p>
          <w:p>
            <w:pPr>
              <w:pStyle w:val="Normal"/>
              <w:tabs>
                <w:tab w:val="clear" w:pos="709"/>
                <w:tab w:val="left" w:pos="993" w:leader="none"/>
              </w:tabs>
              <w:spacing w:lineRule="auto" w:line="240"/>
              <w:ind w:firstLine="743" w:left="0" w:right="0"/>
              <w:jc w:val="both"/>
              <w:rPr/>
            </w:pPr>
            <w:r>
              <w:rPr>
                <w:sz w:val="28"/>
                <w:szCs w:val="28"/>
              </w:rPr>
              <w:t xml:space="preserve">7. В соответствии с Порядком уполномоченный орган провел публичные консультации по проекту в период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со </w:t>
            </w:r>
            <w:r>
              <w:rPr>
                <w:rFonts w:eastAsia="Times New Roman" w:cs="Times New Roman"/>
                <w:sz w:val="28"/>
                <w:szCs w:val="28"/>
              </w:rPr>
              <w:t>6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по 1</w:t>
            </w:r>
            <w:r>
              <w:rPr>
                <w:rFonts w:eastAsia="Times New Roman" w:cs="Times New Roman"/>
                <w:sz w:val="28"/>
                <w:szCs w:val="28"/>
              </w:rPr>
              <w:t>9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августа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>2026 года.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>8. Информация о проводимых публичных консультациях была размещена</w:t>
            </w:r>
          </w:p>
          <w:p>
            <w:pPr>
              <w:pStyle w:val="Normal"/>
              <w:spacing w:lineRule="auto" w:line="24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официальном сайте администрации МО Курганинский район                            </w:t>
            </w:r>
            <w:hyperlink r:id="rId2">
              <w:r>
                <w:rPr>
                  <w:rStyle w:val="Hyperlink"/>
                  <w:color w:val="000000"/>
                  <w:sz w:val="28"/>
                  <w:szCs w:val="28"/>
                  <w:u w:val="none"/>
                </w:rPr>
                <w:t xml:space="preserve">www: </w:t>
              </w:r>
              <w:r>
                <w:rPr>
                  <w:rStyle w:val="Hyperlink"/>
                  <w:color w:val="000000"/>
                  <w:sz w:val="28"/>
                  <w:szCs w:val="28"/>
                  <w:u w:val="none"/>
                  <w:lang w:val="en-US"/>
                </w:rPr>
                <w:t>admkurganinsk</w:t>
              </w:r>
              <w:r>
                <w:rPr>
                  <w:rStyle w:val="Hyperlink"/>
                  <w:color w:val="000000"/>
                  <w:sz w:val="28"/>
                  <w:szCs w:val="28"/>
                  <w:u w:val="none"/>
                </w:rPr>
                <w:t>.ru</w:t>
              </w:r>
            </w:hyperlink>
            <w:r>
              <w:rPr>
                <w:color w:val="000000"/>
                <w:sz w:val="28"/>
                <w:szCs w:val="28"/>
                <w:u w:val="none"/>
              </w:rPr>
              <w:t>.</w:t>
            </w:r>
          </w:p>
          <w:p>
            <w:pPr>
              <w:pStyle w:val="Normal"/>
              <w:tabs>
                <w:tab w:val="clear" w:pos="709"/>
                <w:tab w:val="left" w:pos="5387" w:leader="none"/>
              </w:tabs>
              <w:spacing w:lineRule="auto" w:line="240"/>
              <w:jc w:val="both"/>
              <w:rPr/>
            </w:pPr>
            <w:r>
              <w:rPr>
                <w:sz w:val="28"/>
                <w:szCs w:val="28"/>
                <w:shd w:fill="auto" w:val="clear"/>
              </w:rPr>
              <w:t xml:space="preserve">    </w:t>
            </w:r>
            <w:r>
              <w:rPr>
                <w:sz w:val="28"/>
                <w:szCs w:val="28"/>
                <w:shd w:fill="auto" w:val="clear"/>
              </w:rPr>
              <w:t xml:space="preserve">9. В период     проведения        публичных    консультаций                     замечаний </w:t>
            </w:r>
            <w:r>
              <w:rPr>
                <w:sz w:val="28"/>
                <w:szCs w:val="28"/>
              </w:rPr>
              <w:t xml:space="preserve">и предложений от участников публичных консультаций                            не поступило. </w:t>
            </w:r>
            <w:r>
              <w:rPr>
                <w:sz w:val="28"/>
                <w:szCs w:val="28"/>
              </w:rPr>
              <w:t>Проект направлялся в адрес</w:t>
            </w:r>
            <w:r>
              <w:rPr>
                <w:sz w:val="28"/>
                <w:szCs w:val="28"/>
              </w:rPr>
              <w:t xml:space="preserve">:   </w:t>
            </w:r>
            <w:r>
              <w:rPr>
                <w:rStyle w:val="0pt"/>
                <w:rFonts w:eastAsia="Calibri"/>
                <w:sz w:val="28"/>
                <w:szCs w:val="28"/>
              </w:rPr>
              <w:t>руководител</w:t>
            </w:r>
            <w:r>
              <w:rPr>
                <w:rStyle w:val="0pt"/>
                <w:rFonts w:eastAsia="Calibri"/>
                <w:sz w:val="28"/>
                <w:szCs w:val="28"/>
              </w:rPr>
              <w:t>я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 филиала союза «Торгово-промышленная палата Краснодарского края» в Лабинском районе</w:t>
            </w:r>
            <w:r>
              <w:rPr>
                <w:sz w:val="28"/>
                <w:szCs w:val="28"/>
              </w:rPr>
              <w:t xml:space="preserve"> Морговского Ю.В., общественного представителя в МО Курганинский      район       Уполномоченного     по       защите     прав предпринимателей                       в Краснодарском крае   Буракова В.В.,  ИП, Председателя Совета депутатов Курганинского городского поселения Курганинского района Плетнева Л.Е., ИП Кудрявцевой Е.А., ИП Разина В.Ю., ИП Липового А.В., с которыми заключены соглашения о взаимодействии  при проведении ОРВ.</w:t>
            </w:r>
          </w:p>
          <w:p>
            <w:pPr>
              <w:pStyle w:val="Normal"/>
              <w:tabs>
                <w:tab w:val="clear" w:pos="709"/>
                <w:tab w:val="left" w:pos="867" w:leader="none"/>
                <w:tab w:val="left" w:pos="5387" w:leader="none"/>
              </w:tabs>
              <w:spacing w:lineRule="auto" w:line="240"/>
              <w:jc w:val="both"/>
              <w:rPr/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10.  По результатам оценки регулирующего воздействия сделаны выводы:            в проекте МПА отсутствуют положения, вводящие избыточные    административные      обязанности,     запреты  и     ограничения                              для      </w:t>
            </w:r>
            <w:r>
              <w:rPr>
                <w:rFonts w:cs="Times New Roman"/>
                <w:i w:val="false"/>
                <w:iCs w:val="false"/>
                <w:sz w:val="28"/>
                <w:szCs w:val="28"/>
              </w:rPr>
              <w:t xml:space="preserve">субъектов         </w:t>
            </w:r>
            <w:r>
              <w:rPr>
                <w:rFonts w:cs="Times New Roman"/>
                <w:b w:val="false"/>
                <w:i w:val="false"/>
                <w:iCs w:val="false"/>
                <w:sz w:val="28"/>
                <w:szCs w:val="28"/>
              </w:rPr>
              <w:t>предпринимательской         и          иной     экономической</w:t>
            </w:r>
          </w:p>
          <w:p>
            <w:pPr>
              <w:pStyle w:val="Normal"/>
              <w:tabs>
                <w:tab w:val="clear" w:pos="709"/>
                <w:tab w:val="left" w:pos="867" w:leader="none"/>
                <w:tab w:val="left" w:pos="5387" w:leader="none"/>
              </w:tabs>
              <w:spacing w:lineRule="auto" w:line="240"/>
              <w:jc w:val="both"/>
              <w:rPr>
                <w:rFonts w:cs="Times New Roman"/>
                <w:b w:val="false"/>
                <w:i/>
                <w:i/>
                <w:sz w:val="28"/>
                <w:szCs w:val="28"/>
              </w:rPr>
            </w:pPr>
            <w:r>
              <w:rPr>
                <w:rFonts w:cs="Times New Roman"/>
                <w:b w:val="false"/>
                <w:i w:val="false"/>
                <w:iCs w:val="false"/>
                <w:sz w:val="28"/>
                <w:szCs w:val="28"/>
              </w:rPr>
              <w:t>деятельности,    обязанности    для     субъектов   инвестиционной деятельности</w:t>
            </w:r>
          </w:p>
          <w:p>
            <w:pPr>
              <w:pStyle w:val="Normal"/>
              <w:tabs>
                <w:tab w:val="clear" w:pos="709"/>
                <w:tab w:val="left" w:pos="867" w:leader="none"/>
                <w:tab w:val="left" w:pos="5387" w:leader="none"/>
              </w:tabs>
              <w:spacing w:lineRule="auto" w:line="240"/>
              <w:jc w:val="both"/>
              <w:rPr/>
            </w:pPr>
            <w:r>
              <w:rPr>
                <w:sz w:val="28"/>
                <w:szCs w:val="28"/>
              </w:rPr>
              <w:t xml:space="preserve">или  способствующих их      введению,     оказывающих    негативное    влияние на  отрасли экономики МО Курганинский      район,     способствующих возникновению   необоснованных       расходов  физических или   юридических лиц в сфере </w:t>
            </w:r>
            <w:r>
              <w:rPr>
                <w:rStyle w:val="Style16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spacing w:val="2"/>
                <w:kern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  <w:t>предпринимательской и иной экономической                                   и инвестиционной деятельности,  а  также необоснованных расходов бюджета МО  Курганинский район.</w:t>
            </w:r>
          </w:p>
          <w:p>
            <w:pPr>
              <w:pStyle w:val="Normal"/>
              <w:tabs>
                <w:tab w:val="clear" w:pos="709"/>
                <w:tab w:val="left" w:pos="867" w:leader="none"/>
                <w:tab w:val="left" w:pos="5387" w:leader="none"/>
              </w:tabs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tbl>
            <w:tblPr>
              <w:tblW w:w="9923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923"/>
            </w:tblGrid>
            <w:tr>
              <w:trPr>
                <w:trHeight w:val="1869" w:hRule="atLeast"/>
              </w:trPr>
              <w:tc>
                <w:tcPr>
                  <w:tcW w:w="9923" w:type="dxa"/>
                  <w:tcBorders/>
                </w:tcPr>
                <w:p>
                  <w:pPr>
                    <w:pStyle w:val="Normal"/>
                    <w:tabs>
                      <w:tab w:val="clear" w:pos="709"/>
                      <w:tab w:val="left" w:pos="60" w:leader="none"/>
                      <w:tab w:val="left" w:pos="867" w:leader="none"/>
                      <w:tab w:val="left" w:pos="5387" w:leader="none"/>
                    </w:tabs>
                    <w:spacing w:lineRule="auto" w:line="24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Начальник отдела инвестиций</w:t>
                  </w:r>
                </w:p>
                <w:p>
                  <w:pPr>
                    <w:pStyle w:val="Normal"/>
                    <w:tabs>
                      <w:tab w:val="clear" w:pos="709"/>
                      <w:tab w:val="left" w:pos="60" w:leader="none"/>
                      <w:tab w:val="left" w:pos="867" w:leader="none"/>
                      <w:tab w:val="left" w:pos="5387" w:leader="none"/>
                    </w:tabs>
                    <w:spacing w:lineRule="auto" w:line="24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 стратегического развития</w:t>
                  </w:r>
                </w:p>
                <w:p>
                  <w:pPr>
                    <w:pStyle w:val="Normal"/>
                    <w:tabs>
                      <w:tab w:val="clear" w:pos="709"/>
                      <w:tab w:val="left" w:pos="60" w:leader="none"/>
                      <w:tab w:val="left" w:pos="867" w:leader="none"/>
                      <w:tab w:val="left" w:pos="5387" w:leader="none"/>
                    </w:tabs>
                    <w:spacing w:lineRule="auto" w:line="24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администрации муниципального</w:t>
                  </w:r>
                </w:p>
                <w:p>
                  <w:pPr>
                    <w:pStyle w:val="Normal"/>
                    <w:tabs>
                      <w:tab w:val="clear" w:pos="709"/>
                      <w:tab w:val="left" w:pos="60" w:leader="none"/>
                      <w:tab w:val="left" w:pos="867" w:leader="none"/>
                      <w:tab w:val="left" w:pos="5387" w:leader="none"/>
                    </w:tabs>
                    <w:spacing w:lineRule="auto" w:line="24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образования Курганинский район</w:t>
                  </w:r>
                </w:p>
                <w:p>
                  <w:pPr>
                    <w:pStyle w:val="Normal"/>
                    <w:tabs>
                      <w:tab w:val="clear" w:pos="709"/>
                      <w:tab w:val="left" w:pos="60" w:leader="none"/>
                      <w:tab w:val="left" w:pos="867" w:leader="none"/>
                      <w:tab w:val="left" w:pos="5387" w:leader="none"/>
                    </w:tabs>
                    <w:spacing w:lineRule="auto" w:line="240"/>
                    <w:jc w:val="both"/>
                    <w:rPr/>
                  </w:pPr>
                  <w:r>
                    <w:rPr>
                      <w:sz w:val="28"/>
                      <w:szCs w:val="28"/>
                    </w:rPr>
                    <w:t>Е.В. Разумеева                              2</w:t>
                  </w:r>
                  <w:r>
                    <w:rPr>
                      <w:sz w:val="28"/>
                      <w:szCs w:val="28"/>
                    </w:rPr>
                    <w:t>6</w:t>
                  </w:r>
                  <w:r>
                    <w:rPr>
                      <w:sz w:val="28"/>
                      <w:szCs w:val="28"/>
                    </w:rPr>
                    <w:t xml:space="preserve"> августа 2026 г.                        ______________</w:t>
                  </w:r>
                </w:p>
              </w:tc>
            </w:tr>
            <w:tr>
              <w:trPr/>
              <w:tc>
                <w:tcPr>
                  <w:tcW w:w="9923" w:type="dxa"/>
                  <w:tcBorders/>
                </w:tcPr>
                <w:p>
                  <w:pPr>
                    <w:pStyle w:val="Style22"/>
                    <w:spacing w:lineRule="auto" w:line="24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cs="Times New Roman" w:ascii="Times New Roman" w:hAnsi="Times New Roman"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rmal"/>
              <w:tabs>
                <w:tab w:val="clear" w:pos="709"/>
                <w:tab w:val="left" w:pos="867" w:leader="none"/>
                <w:tab w:val="left" w:pos="5387" w:leader="none"/>
              </w:tabs>
              <w:spacing w:lineRule="auto" w:lin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808" w:type="dxa"/>
            <w:tcBorders/>
          </w:tcPr>
          <w:p>
            <w:pPr>
              <w:pStyle w:val="Normal"/>
              <w:tabs>
                <w:tab w:val="clear" w:pos="709"/>
                <w:tab w:val="left" w:pos="867" w:leader="none"/>
                <w:tab w:val="left" w:pos="5387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808" w:type="dxa"/>
            <w:tcBorders/>
          </w:tcPr>
          <w:p>
            <w:pPr>
              <w:pStyle w:val="Style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20" w:hRule="atLeast"/>
        </w:trPr>
        <w:tc>
          <w:tcPr>
            <w:tcW w:w="9808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808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283" w:top="119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Times New Roman CYR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uppressAutoHyphens w:val="true"/>
      <w:ind w:hanging="0" w:left="-680" w:right="0"/>
      <w:jc w:val="both"/>
      <w:rPr>
        <w:i w:val="false"/>
        <w:i w:val="false"/>
        <w:iCs w:val="false"/>
        <w:color w:val="000000"/>
        <w:sz w:val="28"/>
        <w:szCs w:val="28"/>
        <w:shd w:fill="F10D0C" w:val="clear"/>
      </w:rPr>
    </w:pPr>
    <w:r>
      <w:rPr>
        <w:i w:val="false"/>
        <w:iCs w:val="false"/>
        <w:color w:val="000000"/>
        <w:sz w:val="28"/>
        <w:szCs w:val="28"/>
        <w:shd w:fill="F10D0C" w:val="clear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uppressAutoHyphens w:val="true"/>
      <w:ind w:hanging="0" w:left="-680" w:right="0"/>
      <w:jc w:val="both"/>
      <w:rPr>
        <w:i w:val="false"/>
        <w:i w:val="false"/>
        <w:iCs w:val="false"/>
        <w:color w:val="000000"/>
        <w:sz w:val="28"/>
        <w:szCs w:val="28"/>
        <w:shd w:fill="F10D0C" w:val="clear"/>
      </w:rPr>
    </w:pPr>
    <w:r>
      <w:rPr>
        <w:i w:val="false"/>
        <w:iCs w:val="false"/>
        <w:color w:val="000000"/>
        <w:sz w:val="28"/>
        <w:szCs w:val="28"/>
        <w:shd w:fill="F10D0C" w:val="clear"/>
      </w:rPr>
    </w:r>
  </w:p>
</w:hdr>
</file>

<file path=word/settings.xml><?xml version="1.0" encoding="utf-8"?>
<w:settings xmlns:w="http://schemas.openxmlformats.org/wordprocessingml/2006/main">
  <w:zoom w:percent="65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ejaVu Sans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qFormat/>
    <w:pPr>
      <w:keepNext w:val="true"/>
      <w:shd w:val="clear" w:fill="FFFFFF"/>
      <w:jc w:val="both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qFormat/>
    <w:pPr>
      <w:keepNext w:val="true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qFormat/>
    <w:pPr>
      <w:keepNext w:val="true"/>
      <w:ind w:hanging="0" w:left="0" w:right="-15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qFormat/>
    <w:pPr>
      <w:keepNext w:val="true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qFormat/>
    <w:pPr>
      <w:keepNext w:val="true"/>
      <w:spacing w:lineRule="auto" w:line="360"/>
      <w:ind w:hanging="0" w:left="0" w:right="43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qFormat/>
    <w:pPr>
      <w:keepNext w:val="true"/>
      <w:jc w:val="center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qFormat/>
    <w:pPr>
      <w:keepNext w:val="true"/>
      <w:jc w:val="center"/>
      <w:outlineLvl w:val="6"/>
    </w:pPr>
    <w:rPr>
      <w:rFonts w:ascii="Calibri" w:hAnsi="Calibri"/>
    </w:rPr>
  </w:style>
  <w:style w:type="paragraph" w:styleId="Heading8">
    <w:name w:val="heading 8"/>
    <w:basedOn w:val="Normal"/>
    <w:qFormat/>
    <w:pPr>
      <w:keepNext w:val="true"/>
      <w:ind w:firstLine="708" w:left="0" w:right="-15"/>
      <w:jc w:val="center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qFormat/>
    <w:pPr>
      <w:keepNext w:val="true"/>
      <w:jc w:val="center"/>
      <w:outlineLvl w:val="8"/>
    </w:pPr>
    <w:rPr>
      <w:rFonts w:ascii="Cambria" w:hAnsi="Cambria"/>
      <w:sz w:val="22"/>
      <w:szCs w:val="22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2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5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6">
    <w:name w:val="Заголовок 6 Знак"/>
    <w:qFormat/>
    <w:rPr>
      <w:rFonts w:ascii="Calibri" w:hAnsi="Calibri" w:eastAsia="Times New Roman" w:cs="Times New Roman"/>
      <w:b/>
      <w:bCs/>
      <w:sz w:val="22"/>
      <w:szCs w:val="22"/>
    </w:rPr>
  </w:style>
  <w:style w:type="character" w:styleId="7">
    <w:name w:val="Заголовок 7 Знак"/>
    <w:qFormat/>
    <w:rPr>
      <w:rFonts w:ascii="Calibri" w:hAnsi="Calibri" w:eastAsia="Times New Roman" w:cs="Times New Roman"/>
      <w:sz w:val="24"/>
      <w:szCs w:val="24"/>
    </w:rPr>
  </w:style>
  <w:style w:type="character" w:styleId="8">
    <w:name w:val="Заголовок 8 Знак"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9">
    <w:name w:val="Заголовок 9 Знак"/>
    <w:qFormat/>
    <w:rPr>
      <w:rFonts w:ascii="Cambria" w:hAnsi="Cambria" w:eastAsia="Times New Roman" w:cs="Times New Roman"/>
      <w:sz w:val="22"/>
      <w:szCs w:val="22"/>
    </w:rPr>
  </w:style>
  <w:style w:type="character" w:styleId="Style5">
    <w:name w:val="Верхний колонтитул Знак"/>
    <w:qFormat/>
    <w:rPr>
      <w:sz w:val="24"/>
      <w:szCs w:val="24"/>
    </w:rPr>
  </w:style>
  <w:style w:type="character" w:styleId="Style6">
    <w:name w:val="Нижний колонтитул Знак"/>
    <w:qFormat/>
    <w:rPr>
      <w:sz w:val="24"/>
      <w:szCs w:val="24"/>
    </w:rPr>
  </w:style>
  <w:style w:type="character" w:styleId="Style7">
    <w:name w:val="Текст Знак"/>
    <w:qFormat/>
    <w:rPr>
      <w:rFonts w:ascii="Courier New" w:hAnsi="Courier New" w:cs="Courier New"/>
    </w:rPr>
  </w:style>
  <w:style w:type="character" w:styleId="21">
    <w:name w:val="Основной текст 2 Знак"/>
    <w:qFormat/>
    <w:rPr>
      <w:sz w:val="24"/>
      <w:szCs w:val="24"/>
    </w:rPr>
  </w:style>
  <w:style w:type="character" w:styleId="31">
    <w:name w:val="Основной текст 3 Знак"/>
    <w:qFormat/>
    <w:rPr>
      <w:sz w:val="16"/>
      <w:szCs w:val="16"/>
    </w:rPr>
  </w:style>
  <w:style w:type="character" w:styleId="Style8">
    <w:name w:val="Основной текст Знак"/>
    <w:qFormat/>
    <w:rPr>
      <w:sz w:val="24"/>
      <w:szCs w:val="24"/>
    </w:rPr>
  </w:style>
  <w:style w:type="character" w:styleId="Style9">
    <w:name w:val="Основной текст с отступом Знак"/>
    <w:qFormat/>
    <w:rPr>
      <w:sz w:val="24"/>
      <w:szCs w:val="24"/>
    </w:rPr>
  </w:style>
  <w:style w:type="character" w:styleId="22">
    <w:name w:val="Основной текст с отступом 2 Знак"/>
    <w:qFormat/>
    <w:rPr>
      <w:sz w:val="24"/>
      <w:szCs w:val="24"/>
    </w:rPr>
  </w:style>
  <w:style w:type="character" w:styleId="Style10">
    <w:name w:val="Заголовок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32">
    <w:name w:val="Основной текст с отступом 3 Знак"/>
    <w:qFormat/>
    <w:rPr>
      <w:sz w:val="16"/>
      <w:szCs w:val="16"/>
    </w:rPr>
  </w:style>
  <w:style w:type="character" w:styleId="Style11">
    <w:name w:val="Гипертекстовая ссылка"/>
    <w:qFormat/>
    <w:rPr>
      <w:rFonts w:cs="Times New Roman"/>
      <w:color w:val="008000"/>
      <w:sz w:val="20"/>
      <w:szCs w:val="20"/>
      <w:u w:val="single"/>
    </w:rPr>
  </w:style>
  <w:style w:type="character" w:styleId="Style12">
    <w:name w:val="Цветовое выделение"/>
    <w:qFormat/>
    <w:rPr>
      <w:b/>
      <w:color w:val="26282F"/>
    </w:rPr>
  </w:style>
  <w:style w:type="character" w:styleId="FontStyle54">
    <w:name w:val="Font Style54"/>
    <w:qFormat/>
    <w:rPr>
      <w:rFonts w:ascii="Times New Roman" w:hAnsi="Times New Roman"/>
      <w:b/>
      <w:sz w:val="16"/>
    </w:rPr>
  </w:style>
  <w:style w:type="character" w:styleId="apple-style-span">
    <w:name w:val="apple-style-span"/>
    <w:qFormat/>
    <w:rPr/>
  </w:style>
  <w:style w:type="character" w:styleId="FontStyle50">
    <w:name w:val="Font Style50"/>
    <w:qFormat/>
    <w:rPr>
      <w:rFonts w:ascii="Times New Roman" w:hAnsi="Times New Roman"/>
      <w:sz w:val="16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yle13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23">
    <w:name w:val="Основной текст (2)_"/>
    <w:basedOn w:val="DefaultParagraphFont"/>
    <w:qFormat/>
    <w:rPr>
      <w:sz w:val="28"/>
      <w:szCs w:val="28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0pt">
    <w:name w:val="Основной текст + Интервал 0 pt"/>
    <w:qFormat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lang w:val="ru-RU" w:eastAsia="ru-RU" w:bidi="ru-RU"/>
    </w:rPr>
  </w:style>
  <w:style w:type="character" w:styleId="Style14">
    <w:name w:val="Выделение жирным"/>
    <w:qFormat/>
    <w:rPr>
      <w:b/>
      <w:bCs/>
    </w:rPr>
  </w:style>
  <w:style w:type="character" w:styleId="11">
    <w:name w:val="Основной шрифт абзаца1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1z0">
    <w:name w:val="WW8Num11z0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>
      <w:rFonts w:ascii="Times New Roman" w:hAnsi="Times New Roman" w:eastAsia="Times New Roman" w:cs="Times New Roman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  <w:sz w:val="28"/>
      <w:szCs w:val="28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Style15">
    <w:name w:val="Основной шрифт абзаца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  <w:sz w:val="28"/>
      <w:szCs w:val="28"/>
    </w:rPr>
  </w:style>
  <w:style w:type="character" w:styleId="Style16">
    <w:name w:val="Цветовое выделение для Текст"/>
    <w:qFormat/>
    <w:rPr>
      <w:sz w:val="24"/>
    </w:rPr>
  </w:style>
  <w:style w:type="character" w:styleId="111">
    <w:name w:val="Заголовок 1 Знак1"/>
    <w:qFormat/>
    <w:rPr>
      <w:rFonts w:ascii="Times New Roman" w:hAnsi="Times New Roman"/>
      <w:color w:val="000000"/>
      <w:spacing w:val="3"/>
      <w:w w:val="100"/>
      <w:sz w:val="21"/>
      <w:shd w:fill="FFFFFF" w:val="clear"/>
      <w:lang w:val="ru-RU" w:eastAsia="ru-RU"/>
    </w:rPr>
  </w:style>
  <w:style w:type="character" w:styleId="Style17">
    <w:name w:val="Символ нумерации"/>
    <w:qFormat/>
    <w:rPr/>
  </w:style>
  <w:style w:type="character" w:styleId="FontStyle21">
    <w:name w:val="Font Style21"/>
    <w:qFormat/>
    <w:rPr>
      <w:rFonts w:ascii="Times New Roman" w:hAnsi="Times New Roman" w:cs="Times New Roman"/>
      <w:sz w:val="22"/>
      <w:szCs w:val="22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DejaVu Sans"/>
    </w:rPr>
  </w:style>
  <w:style w:type="paragraph" w:styleId="Caption">
    <w:name w:val="caption"/>
    <w:basedOn w:val="Normal"/>
    <w:qFormat/>
    <w:pPr>
      <w:jc w:val="center"/>
    </w:pPr>
    <w:rPr>
      <w:sz w:val="28"/>
    </w:rPr>
  </w:style>
  <w:style w:type="paragraph" w:styleId="Style19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DejaVu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ejaVu Sans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BodyText2">
    <w:name w:val="Body Text 2"/>
    <w:basedOn w:val="Normal"/>
    <w:qFormat/>
    <w:pPr>
      <w:spacing w:lineRule="auto" w:line="360"/>
      <w:ind w:hanging="0" w:left="0" w:right="43"/>
      <w:jc w:val="both"/>
    </w:pPr>
    <w:rPr/>
  </w:style>
  <w:style w:type="paragraph" w:styleId="BodyText3">
    <w:name w:val="Body Text 3"/>
    <w:basedOn w:val="Normal"/>
    <w:qFormat/>
    <w:pPr>
      <w:jc w:val="both"/>
    </w:pPr>
    <w:rPr>
      <w:sz w:val="16"/>
      <w:szCs w:val="16"/>
    </w:rPr>
  </w:style>
  <w:style w:type="paragraph" w:styleId="BodyTextIndent">
    <w:name w:val="Body Text Indent"/>
    <w:basedOn w:val="Normal"/>
    <w:pPr>
      <w:ind w:hanging="0" w:left="720" w:right="0"/>
      <w:jc w:val="both"/>
    </w:pPr>
    <w:rPr/>
  </w:style>
  <w:style w:type="paragraph" w:styleId="BodyTextIndent2">
    <w:name w:val="Body Text Indent 2"/>
    <w:basedOn w:val="Normal"/>
    <w:qFormat/>
    <w:pPr>
      <w:ind w:firstLine="708" w:left="0" w:right="0"/>
      <w:jc w:val="both"/>
    </w:pPr>
    <w:rPr/>
  </w:style>
  <w:style w:type="paragraph" w:styleId="Title">
    <w:name w:val="Title"/>
    <w:basedOn w:val="Normal"/>
    <w:qFormat/>
    <w:pPr>
      <w:jc w:val="center"/>
    </w:pPr>
    <w:rPr>
      <w:rFonts w:ascii="Cambria" w:hAnsi="Cambria"/>
      <w:b/>
      <w:bCs/>
      <w:kern w:val="2"/>
      <w:sz w:val="32"/>
      <w:szCs w:val="32"/>
    </w:rPr>
  </w:style>
  <w:style w:type="paragraph" w:styleId="BodyTextIndent3">
    <w:name w:val="Body Text Indent 3"/>
    <w:basedOn w:val="Normal"/>
    <w:qFormat/>
    <w:pPr>
      <w:ind w:firstLine="705" w:left="0" w:right="0"/>
      <w:jc w:val="both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4"/>
      <w:szCs w:val="20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ConsTitle">
    <w:name w:val="ConsTitle"/>
    <w:qFormat/>
    <w:pPr>
      <w:widowControl/>
      <w:suppressAutoHyphens w:val="true"/>
      <w:overflowPunct w:val="true"/>
      <w:bidi w:val="0"/>
      <w:spacing w:before="0" w:after="0"/>
      <w:ind w:hanging="0" w:left="0"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ConsNormal">
    <w:name w:val="ConsNormal"/>
    <w:qFormat/>
    <w:pPr>
      <w:widowControl/>
      <w:suppressAutoHyphens w:val="true"/>
      <w:overflowPunct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Style22">
    <w:name w:val="Нормальный (таблица)"/>
    <w:basedOn w:val="Normal"/>
    <w:qFormat/>
    <w:pPr>
      <w:widowControl w:val="false"/>
      <w:jc w:val="both"/>
    </w:pPr>
    <w:rPr>
      <w:rFonts w:ascii="Arial" w:hAnsi="Arial" w:cs="Arial"/>
    </w:rPr>
  </w:style>
  <w:style w:type="paragraph" w:styleId="Style23">
    <w:name w:val="Прижатый влево"/>
    <w:basedOn w:val="Normal"/>
    <w:qFormat/>
    <w:pPr>
      <w:widowControl w:val="false"/>
    </w:pPr>
    <w:rPr>
      <w:rFonts w:ascii="Arial" w:hAnsi="Arial" w:cs="Arial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Style51">
    <w:name w:val="Style5"/>
    <w:basedOn w:val="Normal"/>
    <w:qFormat/>
    <w:pPr>
      <w:widowControl w:val="false"/>
      <w:spacing w:lineRule="exact" w:line="214"/>
      <w:jc w:val="both"/>
    </w:pPr>
    <w:rPr/>
  </w:style>
  <w:style w:type="paragraph" w:styleId="Style91">
    <w:name w:val="Style9"/>
    <w:basedOn w:val="Normal"/>
    <w:qFormat/>
    <w:pPr>
      <w:widowControl w:val="false"/>
      <w:spacing w:lineRule="exact" w:line="197"/>
      <w:jc w:val="both"/>
    </w:pPr>
    <w:rPr/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24">
    <w:name w:val="Основной текст (2)"/>
    <w:basedOn w:val="Normal"/>
    <w:qFormat/>
    <w:pPr>
      <w:widowControl w:val="false"/>
      <w:shd w:val="clear" w:fill="FFFFFF"/>
      <w:spacing w:lineRule="auto" w:line="240" w:before="0" w:after="480"/>
      <w:jc w:val="both"/>
    </w:pPr>
    <w:rPr>
      <w:sz w:val="28"/>
      <w:szCs w:val="28"/>
    </w:rPr>
  </w:style>
  <w:style w:type="paragraph" w:styleId="user3">
    <w:name w:val="Заголовок списка (user)"/>
    <w:basedOn w:val="Normal"/>
    <w:qFormat/>
    <w:pPr>
      <w:ind w:hanging="0" w:left="0" w:right="0"/>
    </w:pPr>
    <w:rPr/>
  </w:style>
  <w:style w:type="paragraph" w:styleId="user4">
    <w:name w:val="Содержимое списка (user)"/>
    <w:basedOn w:val="Normal"/>
    <w:qFormat/>
    <w:pPr>
      <w:ind w:hanging="0" w:left="567" w:right="0"/>
    </w:pPr>
    <w:rPr/>
  </w:style>
  <w:style w:type="paragraph" w:styleId="Style24">
    <w:name w:val="Обычный (Интернет)"/>
    <w:basedOn w:val="Normal"/>
    <w:qFormat/>
    <w:pPr>
      <w:spacing w:before="280" w:after="280"/>
    </w:pPr>
    <w:rPr/>
  </w:style>
  <w:style w:type="paragraph" w:styleId="user5">
    <w:name w:val="Содержимое таблицы (user)"/>
    <w:basedOn w:val="Normal"/>
    <w:qFormat/>
    <w:pPr>
      <w:suppressLineNumbers/>
    </w:pPr>
    <w:rPr/>
  </w:style>
  <w:style w:type="paragraph" w:styleId="Style25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Style26">
    <w:name w:val="Абзац списка"/>
    <w:basedOn w:val="Normal"/>
    <w:qFormat/>
    <w:pPr>
      <w:ind w:hanging="0" w:left="708" w:right="0"/>
    </w:pPr>
    <w:rPr/>
  </w:style>
  <w:style w:type="paragraph" w:styleId="12">
    <w:name w:val="Указатель1"/>
    <w:basedOn w:val="Normal"/>
    <w:qFormat/>
    <w:pPr>
      <w:suppressLineNumbers/>
    </w:pPr>
    <w:rPr>
      <w:rFonts w:cs="DejaVu Sans;Times New Roman"/>
    </w:rPr>
  </w:style>
  <w:style w:type="paragraph" w:styleId="Style27">
    <w:name w:val="Название объекта"/>
    <w:basedOn w:val="Normal"/>
    <w:qFormat/>
    <w:pPr>
      <w:suppressLineNumbers/>
      <w:spacing w:before="120" w:after="120"/>
    </w:pPr>
    <w:rPr>
      <w:rFonts w:cs="DejaVu Sans;Times New Roman"/>
      <w:i/>
      <w:iCs/>
      <w:sz w:val="24"/>
      <w:szCs w:val="24"/>
    </w:rPr>
  </w:style>
  <w:style w:type="paragraph" w:styleId="user6">
    <w:name w:val="Заголовок таблицы (user)"/>
    <w:basedOn w:val="user5"/>
    <w:qFormat/>
    <w:pPr>
      <w:suppressLineNumbers/>
      <w:jc w:val="center"/>
    </w:pPr>
    <w:rPr>
      <w:b/>
      <w:bCs/>
    </w:rPr>
  </w:style>
  <w:style w:type="paragraph" w:styleId="25">
    <w:name w:val="Основной текст2"/>
    <w:basedOn w:val="Normal"/>
    <w:qFormat/>
    <w:pPr>
      <w:shd w:val="clear" w:fill="FFFFFF"/>
      <w:spacing w:lineRule="exact" w:line="322" w:before="600" w:after="0"/>
      <w:ind w:hanging="360"/>
    </w:pPr>
    <w:rPr>
      <w:rFonts w:ascii="Times New Roman" w:hAnsi="Times New Roman" w:cs="Times New Roman"/>
      <w:spacing w:val="1"/>
      <w:sz w:val="23"/>
      <w:szCs w:val="23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numbering" w:styleId="Style29">
    <w:name w:val="Без списка"/>
    <w:qFormat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investkurg@mail.r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3069</TotalTime>
  <Application>LibreOffice/24.8.7.2$Linux_X86_64 LibreOffice_project/480$Build-2</Application>
  <AppVersion>15.0000</AppVersion>
  <Pages>5</Pages>
  <Words>1010</Words>
  <Characters>8120</Characters>
  <CharactersWithSpaces>10345</CharactersWithSpaces>
  <Paragraphs>54</Paragraphs>
  <Company>Администрация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2019-08-02T10:50:00Z</dcterms:created>
  <dc:creator>Юля</dc:creator>
  <dc:description/>
  <dc:language>ru-RU</dc:language>
  <cp:lastModifiedBy/>
  <cp:lastPrinted>2026-08-28T10:32:52Z</cp:lastPrinted>
  <dcterms:modified xsi:type="dcterms:W3CDTF">2026-08-28T10:53:44Z</dcterms:modified>
  <cp:revision>135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