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08" w:type="dxa"/>
        <w:jc w:val="left"/>
        <w:tblInd w:w="50" w:type="dxa"/>
        <w:tblLayout w:type="fixed"/>
        <w:tblCellMar>
          <w:top w:w="0" w:type="dxa"/>
          <w:left w:w="113" w:type="dxa"/>
          <w:bottom w:w="0" w:type="dxa"/>
          <w:right w:w="108" w:type="dxa"/>
        </w:tblCellMar>
      </w:tblPr>
      <w:tblGrid>
        <w:gridCol w:w="9808"/>
      </w:tblGrid>
      <w:tr>
        <w:trPr>
          <w:trHeight w:val="6180" w:hRule="atLeast"/>
        </w:trPr>
        <w:tc>
          <w:tcPr>
            <w:tcW w:w="9808" w:type="dxa"/>
            <w:tcBorders/>
          </w:tcPr>
          <w:tbl>
            <w:tblPr>
              <w:tblW w:w="10606" w:type="dxa"/>
              <w:jc w:val="left"/>
              <w:tblInd w:w="2387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606"/>
            </w:tblGrid>
            <w:tr>
              <w:trPr/>
              <w:tc>
                <w:tcPr>
                  <w:tcW w:w="10606" w:type="dxa"/>
                  <w:tcBorders/>
                </w:tcPr>
                <w:tbl>
                  <w:tblPr>
                    <w:tblW w:w="8065" w:type="dxa"/>
                    <w:jc w:val="left"/>
                    <w:tblInd w:w="3120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</w:tblPr>
                  <w:tblGrid>
                    <w:gridCol w:w="8065"/>
                  </w:tblGrid>
                  <w:tr>
                    <w:trPr>
                      <w:trHeight w:val="4020" w:hRule="atLeast"/>
                    </w:trPr>
                    <w:tc>
                      <w:tcPr>
                        <w:tcW w:w="8065" w:type="dxa"/>
                        <w:tcBorders/>
                      </w:tcPr>
                      <w:p>
                        <w:pPr>
                          <w:pStyle w:val="ConsPlusNonformat"/>
                          <w:ind w:hanging="0"/>
                          <w:jc w:val="both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  <w:t>Начальнику управления</w:t>
                        </w:r>
                      </w:p>
                      <w:p>
                        <w:pPr>
                          <w:pStyle w:val="ConsPlusNonformat"/>
                          <w:ind w:hanging="0"/>
                          <w:jc w:val="both"/>
                          <w:rPr>
                            <w:rFonts w:ascii="Times New Roman" w:hAnsi="Times New Roman" w:eastAsia="Times New Roman" w:cs="Times New Roman"/>
                            <w:b w:val="false"/>
                            <w:bCs/>
                            <w:i w:val="false"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  <w:t>архитектуры и градостроительства</w:t>
                        </w:r>
                      </w:p>
                      <w:p>
                        <w:pPr>
                          <w:pStyle w:val="ConsPlusNonformat"/>
                          <w:ind w:hanging="0"/>
                          <w:jc w:val="both"/>
                          <w:rPr>
                            <w:rFonts w:ascii="Times New Roman" w:hAnsi="Times New Roman" w:eastAsia="Times New Roman" w:cs="Times New Roman"/>
                            <w:b w:val="false"/>
                            <w:bCs/>
                            <w:i w:val="false"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  <w:t>администрации</w:t>
                        </w:r>
                      </w:p>
                      <w:p>
                        <w:pPr>
                          <w:pStyle w:val="ConsPlusNonformat"/>
                          <w:ind w:hanging="0"/>
                          <w:jc w:val="both"/>
                          <w:rPr>
                            <w:rFonts w:ascii="Times New Roman" w:hAnsi="Times New Roman" w:eastAsia="Times New Roman" w:cs="Times New Roman"/>
                            <w:b w:val="false"/>
                            <w:bCs/>
                            <w:i w:val="false"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  <w:t>муниципального образования</w:t>
                        </w:r>
                      </w:p>
                      <w:p>
                        <w:pPr>
                          <w:pStyle w:val="ConsPlusNonformat"/>
                          <w:ind w:hanging="0"/>
                          <w:jc w:val="both"/>
                          <w:rPr>
                            <w:rFonts w:ascii="Times New Roman" w:hAnsi="Times New Roman" w:eastAsia="Times New Roman" w:cs="Times New Roman"/>
                            <w:b w:val="false"/>
                            <w:bCs/>
                            <w:i w:val="false"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  <w:t>Курганинский  район</w:t>
                        </w:r>
                      </w:p>
                      <w:p>
                        <w:pPr>
                          <w:pStyle w:val="ConsPlusNonformat"/>
                          <w:ind w:hanging="0"/>
                          <w:jc w:val="both"/>
                          <w:rPr>
                            <w:rFonts w:ascii="Times New Roman" w:hAnsi="Times New Roman" w:eastAsia="Times New Roman" w:cs="Times New Roman"/>
                            <w:b w:val="false"/>
                            <w:bCs/>
                            <w:i w:val="false"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</w:r>
                      </w:p>
                      <w:p>
                        <w:pPr>
                          <w:pStyle w:val="ConsPlusNonformat"/>
                          <w:ind w:hanging="0"/>
                          <w:jc w:val="both"/>
                          <w:rPr>
                            <w:rFonts w:ascii="Times New Roman" w:hAnsi="Times New Roman" w:eastAsia="Times New Roman" w:cs="Times New Roman"/>
                            <w:b w:val="false"/>
                            <w:bCs/>
                            <w:i w:val="false"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  <w:t>Е.В. Перкину</w:t>
                        </w:r>
                      </w:p>
                    </w:tc>
                  </w:tr>
                </w:tbl>
                <w:p>
                  <w:pPr>
                    <w:pStyle w:val="Style27"/>
                    <w:jc w:val="both"/>
                    <w:rPr>
                      <w:rFonts w:eastAsia="Times New Roman" w:cs="Times New Roman"/>
                      <w:b w:val="false"/>
                      <w:bCs/>
                      <w:i w:val="false"/>
                      <w:i w:val="false"/>
                      <w:iCs/>
                      <w:color w:val="auto"/>
                      <w:spacing w:val="2"/>
                      <w:kern w:val="0"/>
                      <w:sz w:val="28"/>
                      <w:szCs w:val="28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b w:val="false"/>
                      <w:bCs/>
                      <w:i w:val="false"/>
                      <w:iCs/>
                      <w:color w:val="auto"/>
                      <w:spacing w:val="2"/>
                      <w:kern w:val="0"/>
                      <w:sz w:val="28"/>
                      <w:szCs w:val="28"/>
                      <w:lang w:val="ru-RU" w:eastAsia="ru-RU" w:bidi="ar-SA"/>
                    </w:rPr>
                  </w:r>
                </w:p>
              </w:tc>
            </w:tr>
            <w:tr>
              <w:trPr>
                <w:trHeight w:val="619" w:hRule="atLeast"/>
              </w:trPr>
              <w:tc>
                <w:tcPr>
                  <w:tcW w:w="10606" w:type="dxa"/>
                  <w:tcBorders/>
                </w:tcPr>
                <w:p>
                  <w:pPr>
                    <w:pStyle w:val="Heading1"/>
                    <w:shd w:val="clear" w:fill="FFFFFF"/>
                    <w:ind w:hanging="0" w:left="0"/>
                    <w:jc w:val="left"/>
                    <w:rPr>
                      <w:rFonts w:ascii="Times New Roman" w:hAnsi="Times New Roman"/>
                      <w:bCs w:val="false"/>
                      <w:kern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 w:val="false"/>
                      <w:kern w:val="0"/>
                      <w:sz w:val="28"/>
                      <w:szCs w:val="28"/>
                    </w:rPr>
                    <w:t xml:space="preserve">                                     </w:t>
                  </w:r>
                  <w:r>
                    <w:rPr>
                      <w:rFonts w:ascii="Times New Roman" w:hAnsi="Times New Roman"/>
                      <w:bCs w:val="false"/>
                      <w:kern w:val="0"/>
                      <w:sz w:val="28"/>
                      <w:szCs w:val="28"/>
                    </w:rPr>
                    <w:t>Заключение</w:t>
                  </w:r>
                </w:p>
                <w:p>
                  <w:pPr>
                    <w:pStyle w:val="Heading1"/>
                    <w:shd w:val="clear" w:fill="FFFFFF"/>
                    <w:ind w:hanging="0" w:left="0"/>
                    <w:jc w:val="left"/>
                    <w:rPr>
                      <w:rFonts w:ascii="Times New Roman" w:hAnsi="Times New Roman"/>
                      <w:bCs w:val="false"/>
                      <w:kern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 w:val="false"/>
                      <w:kern w:val="0"/>
                      <w:sz w:val="28"/>
                      <w:szCs w:val="28"/>
                    </w:rPr>
                    <w:t xml:space="preserve">              </w:t>
                  </w:r>
                  <w:r>
                    <w:rPr>
                      <w:rFonts w:ascii="Times New Roman" w:hAnsi="Times New Roman"/>
                      <w:bCs w:val="false"/>
                      <w:kern w:val="0"/>
                      <w:sz w:val="28"/>
                      <w:szCs w:val="28"/>
                    </w:rPr>
                    <w:t>об оценке регулирующего воздействия</w:t>
                  </w:r>
                </w:p>
              </w:tc>
            </w:tr>
          </w:tbl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398" w:hRule="atLeast"/>
        </w:trPr>
        <w:tc>
          <w:tcPr>
            <w:tcW w:w="9808" w:type="dxa"/>
            <w:tcBorders/>
          </w:tcPr>
          <w:tbl>
            <w:tblPr>
              <w:tblW w:w="8620" w:type="dxa"/>
              <w:jc w:val="left"/>
              <w:tblInd w:w="126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8620"/>
            </w:tblGrid>
            <w:tr>
              <w:trPr>
                <w:trHeight w:val="2780" w:hRule="atLeast"/>
              </w:trPr>
              <w:tc>
                <w:tcPr>
                  <w:tcW w:w="8620" w:type="dxa"/>
                  <w:tcBorders/>
                </w:tcPr>
                <w:tbl>
                  <w:tblPr>
                    <w:tblW w:w="7880" w:type="dxa"/>
                    <w:jc w:val="left"/>
                    <w:tblInd w:w="0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</w:tblPr>
                  <w:tblGrid>
                    <w:gridCol w:w="7880"/>
                  </w:tblGrid>
                  <w:tr>
                    <w:trPr/>
                    <w:tc>
                      <w:tcPr>
                        <w:tcW w:w="7880" w:type="dxa"/>
                        <w:tcBorders/>
                      </w:tcPr>
                      <w:p>
                        <w:pPr>
                          <w:pStyle w:val="Normal"/>
                          <w:jc w:val="both"/>
                          <w:rPr/>
                        </w:pPr>
                        <w:r>
                          <w:rPr>
                            <w:rStyle w:val="Style16"/>
                            <w:rFonts w:eastAsia="Times New Roman" w:cs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FFFFFF" w:val="clear"/>
                            <w:lang w:val="ru-RU" w:eastAsia="zh-CN" w:bidi="ar-SA"/>
                          </w:rPr>
                          <w:t>Проекта постановления администрации муниципального образования Курганинский район «Об утверждении административного регламента предоставления муниципальной услуги  «</w:t>
                        </w:r>
                        <w:bookmarkStart w:id="0" w:name="_Hlk230869415"/>
                        <w:r>
                          <w:rPr>
                            <w:rStyle w:val="Style16"/>
                            <w:rFonts w:eastAsia="Times New Roman" w:cs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FFFFFF" w:val="clear"/>
                            <w:lang w:val="ru-RU" w:eastAsia="zh-CN" w:bidi="ar-SA"/>
                          </w:rPr>
                          <w:t>Выдача разрешений на ввод                      в эксплуатацию построенных, реконструированных объектов капитального строительства</w:t>
                        </w:r>
                        <w:bookmarkEnd w:id="0"/>
                        <w:r>
                          <w:rPr>
                            <w:rStyle w:val="Style16"/>
                            <w:rFonts w:eastAsia="Times New Roman" w:cs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FFFFFF" w:val="clear"/>
                            <w:lang w:val="ru-RU" w:eastAsia="zh-CN" w:bidi="ar-SA"/>
                          </w:rPr>
                          <w:t>».</w:t>
                        </w:r>
                      </w:p>
                    </w:tc>
                  </w:tr>
                </w:tbl>
                <w:p>
                  <w:pPr>
                    <w:pStyle w:val="ConsPlusNonformat"/>
                    <w:jc w:val="both"/>
                    <w:rPr>
                      <w:rFonts w:ascii="Times New Roman" w:hAnsi="Times New Roman" w:eastAsia="Times New Roman" w:cs="Times New Roman"/>
                      <w:bCs/>
                      <w:color w:val="000000"/>
                      <w:spacing w:val="2"/>
                      <w:sz w:val="28"/>
                      <w:szCs w:val="28"/>
                      <w:shd w:fill="FFFF00" w:val="clear"/>
                    </w:rPr>
                  </w:pPr>
                  <w:r>
                    <w:rPr>
                      <w:rFonts w:eastAsia="Times New Roman" w:cs="Times New Roman" w:ascii="Times New Roman" w:hAnsi="Times New Roman"/>
                      <w:bCs/>
                      <w:color w:val="000000"/>
                      <w:spacing w:val="2"/>
                      <w:sz w:val="28"/>
                      <w:szCs w:val="28"/>
                      <w:shd w:fill="FFFF00" w:val="clear"/>
                    </w:rPr>
                  </w:r>
                </w:p>
              </w:tc>
            </w:tr>
          </w:tbl>
          <w:p>
            <w:pPr>
              <w:pStyle w:val="ConsPlusNonformat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   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Отдел инвестиций и стратегического развития администрации муниципального образования (далее - МО) Курганинский район, как уполномоченный орган по проведению оценки регулирующего воздействия (далее - ОРВ)  проектов муниципальных правовых актов (далее - МПА) администрации </w:t>
            </w:r>
            <w:r>
              <w:rPr>
                <w:rFonts w:eastAsia="Times New Roman" w:cs="Times New Roman" w:ascii="Times New Roman" w:hAnsi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МО Курганинский район, рассмотрел поступивший                                                                          </w:t>
            </w:r>
            <w:r>
              <w:rPr>
                <w:rFonts w:eastAsia="Times New Roman" w:cs="Times New Roman" w:ascii="Times New Roman" w:hAnsi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4 </w:t>
            </w:r>
            <w:r>
              <w:rPr>
                <w:rFonts w:eastAsia="Times New Roman" w:cs="Times New Roman" w:ascii="Times New Roman" w:hAnsi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августа</w:t>
            </w:r>
            <w:r>
              <w:rPr>
                <w:rFonts w:eastAsia="Times New Roman" w:cs="Times New Roman" w:ascii="Times New Roman" w:hAnsi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 2026 года проект</w:t>
            </w:r>
            <w:r>
              <w:rPr>
                <w:rStyle w:val="Style16"/>
                <w:rFonts w:eastAsia="Times New Roman" w:cs="Times New Roman" w:ascii="Times New Roman" w:hAnsi="Times New Roman"/>
                <w:b w:val="false"/>
                <w:bCs/>
                <w:i w:val="false"/>
                <w:iCs/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 xml:space="preserve"> постановления администрации муниципального образования Курганинский район </w:t>
            </w:r>
            <w:r>
              <w:rPr>
                <w:rStyle w:val="Style16"/>
                <w:rFonts w:eastAsia="Times New Roman" w:cs="Times New Roman" w:ascii="Times New Roman" w:hAnsi="Times New Roman"/>
                <w:b w:val="false"/>
                <w:bCs/>
                <w:i w:val="false"/>
                <w:iCs/>
                <w:color w:val="000000"/>
                <w:spacing w:val="2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«Об утверждении административного регламента предоставления муниципальной услуги  «</w:t>
            </w:r>
            <w:r>
              <w:rPr>
                <w:rStyle w:val="Style16"/>
                <w:rFonts w:eastAsia="Times New Roman" w:cs="Times New Roman" w:ascii="Times New Roman" w:hAnsi="Times New Roman"/>
                <w:b w:val="false"/>
                <w:bCs/>
                <w:i w:val="false"/>
                <w:iCs/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>Выдача разрешений                        на ввод в эксплуатацию построенных, реконструированных объектов капитального строительства</w:t>
            </w:r>
            <w:r>
              <w:rPr>
                <w:rStyle w:val="Style16"/>
                <w:rFonts w:eastAsia="Times New Roman" w:cs="Times New Roman" w:ascii="Times New Roman" w:hAnsi="Times New Roman"/>
                <w:b w:val="false"/>
                <w:bCs/>
                <w:i w:val="false"/>
                <w:iCs/>
                <w:color w:val="000000"/>
                <w:spacing w:val="2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»</w:t>
            </w:r>
            <w:r>
              <w:rPr>
                <w:rStyle w:val="Style16"/>
                <w:rFonts w:eastAsia="Times New Roman" w:cs="Times New Roman" w:ascii="Times New Roman" w:hAnsi="Times New Roman"/>
                <w:b w:val="false"/>
                <w:bCs/>
                <w:i w:val="false"/>
                <w:iCs/>
                <w:color w:val="000000"/>
                <w:spacing w:val="2"/>
                <w:kern w:val="0"/>
                <w:sz w:val="28"/>
                <w:szCs w:val="28"/>
                <w:shd w:fill="auto" w:val="clear"/>
                <w:lang w:val="ru-RU" w:eastAsia="zh-CN" w:bidi="ar-SA"/>
              </w:rPr>
              <w:t xml:space="preserve"> </w:t>
            </w:r>
            <w:r>
              <w:rPr>
                <w:rStyle w:val="Style16"/>
                <w:rFonts w:eastAsia="Times New Roman" w:cs="Times New Roman" w:ascii="Times New Roman" w:hAnsi="Times New Roman"/>
                <w:bCs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(далее - разработчик) и сообщает следующее.</w:t>
            </w:r>
          </w:p>
          <w:p>
            <w:pPr>
              <w:pStyle w:val="Normal"/>
              <w:tabs>
                <w:tab w:val="clear" w:pos="709"/>
                <w:tab w:val="left" w:pos="720" w:leader="none"/>
                <w:tab w:val="left" w:pos="1020" w:leader="none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В соответствии с Порядком </w:t>
            </w:r>
            <w:r>
              <w:rPr>
                <w:rStyle w:val="Style12"/>
                <w:rFonts w:eastAsia="Times New Roman" w:cs="Times New Roman"/>
                <w:b w:val="false"/>
                <w:bCs/>
                <w:i w:val="false"/>
                <w:iCs w:val="false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проведения ОРВ проектов </w:t>
            </w:r>
            <w:r>
              <w:rPr>
                <w:rStyle w:val="Style12"/>
                <w:rFonts w:eastAsia="Times New Roman" w:cs="Times New Roman"/>
                <w:b w:val="false"/>
                <w:bCs w:val="false"/>
                <w:i w:val="false"/>
                <w:iCs w:val="false"/>
                <w:color w:val="auto"/>
                <w:kern w:val="0"/>
                <w:sz w:val="28"/>
                <w:szCs w:val="28"/>
                <w:lang w:val="ru-RU" w:eastAsia="ru-RU" w:bidi="ar-SA"/>
              </w:rPr>
              <w:t>М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ПА</w:t>
            </w:r>
            <w:r>
              <w:rPr>
                <w:rStyle w:val="Style12"/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Style w:val="Style12"/>
                <w:rFonts w:eastAsia="Times New Roman" w:cs="Times New Roman"/>
                <w:b w:val="false"/>
                <w:bCs/>
                <w:i w:val="false"/>
                <w:iCs w:val="false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администрации МО  </w:t>
            </w:r>
            <w:r>
              <w:rPr>
                <w:rFonts w:eastAsia="Times New Roman" w:cs="Times New Roman"/>
                <w:bCs/>
                <w:i w:val="false"/>
                <w:iCs w:val="false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Курганинский район,  устанавливающих    новые          или      изменяющих ранее    </w:t>
            </w: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olor w:val="auto"/>
                <w:spacing w:val="2"/>
                <w:kern w:val="0"/>
                <w:sz w:val="28"/>
                <w:szCs w:val="28"/>
                <w:lang w:val="ru-RU" w:eastAsia="ru-RU" w:bidi="ar-SA"/>
              </w:rPr>
              <w:t>предусмотренные      МПА   обязательные    требования для       субъектов предпринимательской и    иной     экономической      деятельности,        обязанности для        субъектов           инвестиционной деятельности,           утверждённым             постановлением       администрации</w:t>
            </w:r>
          </w:p>
          <w:p>
            <w:pPr>
              <w:pStyle w:val="Normal"/>
              <w:tabs>
                <w:tab w:val="clear" w:pos="709"/>
                <w:tab w:val="left" w:pos="720" w:leader="none"/>
                <w:tab w:val="left" w:pos="1020" w:leader="none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olor w:val="auto"/>
                <w:spacing w:val="2"/>
                <w:kern w:val="0"/>
                <w:sz w:val="28"/>
                <w:szCs w:val="28"/>
                <w:lang w:val="ru-RU" w:eastAsia="ru-RU" w:bidi="ar-SA"/>
              </w:rPr>
              <w:t xml:space="preserve">МО         </w:t>
            </w: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olor w:val="000000"/>
                <w:spacing w:val="2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Курганинский            район         от      10 декабря 2025   года №   1202</w:t>
            </w:r>
          </w:p>
          <w:p>
            <w:pPr>
              <w:pStyle w:val="Normal"/>
              <w:tabs>
                <w:tab w:val="clear" w:pos="709"/>
                <w:tab w:val="left" w:pos="720" w:leader="none"/>
                <w:tab w:val="left" w:pos="1020" w:leader="none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olor w:val="auto"/>
                <w:spacing w:val="2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  <w:p>
            <w:pPr>
              <w:pStyle w:val="Normal"/>
              <w:tabs>
                <w:tab w:val="clear" w:pos="709"/>
                <w:tab w:val="left" w:pos="720" w:leader="none"/>
                <w:tab w:val="left" w:pos="1020" w:leader="none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olor w:val="000000"/>
                <w:spacing w:val="2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«Об    утверждении      Порядка проведения       оценки       регулирующего воздействия  проектов муниципальных правовых  актов   муниципального образования  Курганинский район, устанавливающих новые или  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деятельности» (далее -</w:t>
            </w: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olor w:val="auto"/>
                <w:spacing w:val="2"/>
                <w:kern w:val="0"/>
                <w:sz w:val="28"/>
                <w:szCs w:val="28"/>
                <w:lang w:val="ru-RU" w:eastAsia="ru-RU" w:bidi="ar-SA"/>
              </w:rPr>
              <w:t xml:space="preserve"> Порядок) проект подлежит проведению ОРВ.</w:t>
            </w:r>
          </w:p>
        </w:tc>
      </w:tr>
      <w:tr>
        <w:trPr>
          <w:trHeight w:val="11939" w:hRule="atLeast"/>
        </w:trPr>
        <w:tc>
          <w:tcPr>
            <w:tcW w:w="9808" w:type="dxa"/>
            <w:tcBorders/>
          </w:tcPr>
          <w:p>
            <w:pPr>
              <w:pStyle w:val="Normal"/>
              <w:tabs>
                <w:tab w:val="clear" w:pos="709"/>
                <w:tab w:val="left" w:pos="732" w:leader="none"/>
              </w:tabs>
              <w:spacing w:lineRule="auto" w:line="240"/>
              <w:ind w:firstLine="743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  результатам   рассмотрения   установлено, что при подготовке проекта требования Порядка разработчиком соблюдены.</w:t>
            </w:r>
          </w:p>
          <w:p>
            <w:pPr>
              <w:pStyle w:val="Normal"/>
              <w:tabs>
                <w:tab w:val="clear" w:pos="709"/>
                <w:tab w:val="left" w:pos="732" w:leader="none"/>
              </w:tabs>
              <w:spacing w:lineRule="auto" w:line="240"/>
              <w:ind w:firstLine="743" w:left="0" w:right="0"/>
              <w:jc w:val="both"/>
              <w:rPr/>
            </w:pPr>
            <w:r>
              <w:rPr>
                <w:sz w:val="28"/>
                <w:szCs w:val="28"/>
                <w:shd w:fill="auto" w:val="clear"/>
              </w:rPr>
              <w:t>Проект на</w:t>
            </w:r>
            <w:r>
              <w:rPr>
                <w:sz w:val="28"/>
                <w:szCs w:val="28"/>
              </w:rPr>
              <w:t xml:space="preserve">правлен разработчиком для проведения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ОРВ</w:t>
            </w:r>
            <w:r>
              <w:rPr>
                <w:sz w:val="28"/>
                <w:szCs w:val="28"/>
              </w:rPr>
              <w:t xml:space="preserve"> впервые.</w:t>
            </w:r>
          </w:p>
          <w:p>
            <w:pPr>
              <w:pStyle w:val="Normal"/>
              <w:spacing w:lineRule="auto" w:line="240"/>
              <w:ind w:firstLine="743" w:left="0" w:right="0"/>
              <w:jc w:val="both"/>
              <w:rPr/>
            </w:pPr>
            <w:r>
              <w:rPr>
                <w:sz w:val="28"/>
                <w:szCs w:val="28"/>
                <w:shd w:fill="auto" w:val="clear"/>
              </w:rPr>
              <w:t>Проведён</w:t>
            </w:r>
            <w:r>
              <w:rPr>
                <w:sz w:val="28"/>
                <w:szCs w:val="28"/>
              </w:rPr>
              <w:t xml:space="preserve"> анализ результатов исследований, проводимых регулирующим органом с учётом установления полноты рассмотрения регулирующим органом всех возможных вариантов правового регулирования выявленной проблемы,               а также эффективности способов решения проблемы в сравнении                                 с действующим на момент проведения процедуры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ОРВ</w:t>
            </w:r>
            <w:r>
              <w:rPr>
                <w:sz w:val="28"/>
                <w:szCs w:val="28"/>
              </w:rPr>
              <w:t xml:space="preserve"> правовым регулированием рассматриваемой сферы общественных отношений.</w:t>
            </w:r>
          </w:p>
          <w:p>
            <w:pPr>
              <w:pStyle w:val="Normal"/>
              <w:spacing w:lineRule="auto" w:line="240"/>
              <w:ind w:firstLine="743" w:left="0" w:right="0"/>
              <w:jc w:val="both"/>
              <w:rPr/>
            </w:pPr>
            <w:r>
              <w:rPr>
                <w:sz w:val="28"/>
                <w:szCs w:val="28"/>
              </w:rPr>
              <w:t xml:space="preserve">Разработчиком предложен один вариант правового регулирования - принятие </w:t>
            </w:r>
            <w:r>
              <w:rPr>
                <w:rStyle w:val="Style16"/>
                <w:sz w:val="28"/>
                <w:szCs w:val="28"/>
              </w:rPr>
              <w:t>постановления администрации муниципального образования Курганинский район «Об утверждении административного регламента предоставления муниципальной услуги  «</w:t>
            </w:r>
            <w:r>
              <w:rPr>
                <w:rStyle w:val="Style16"/>
                <w:rFonts w:eastAsia="Times New Roman" w:cs="Times New Roman"/>
                <w:b w:val="false"/>
                <w:bCs/>
                <w:i w:val="false"/>
                <w:iCs/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>Выдача разрешений на ввод                      в эксплуатацию построенных, реконструированных объектов капитального строительства</w:t>
            </w:r>
            <w:r>
              <w:rPr>
                <w:rStyle w:val="Style16"/>
                <w:sz w:val="28"/>
                <w:szCs w:val="28"/>
              </w:rPr>
              <w:t>».</w:t>
            </w:r>
          </w:p>
          <w:p>
            <w:pPr>
              <w:pStyle w:val="Normal"/>
              <w:spacing w:lineRule="auto" w:line="240"/>
              <w:ind w:firstLine="743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качестве альтернативы рассмотрен вариант непринятия МПА.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/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8"/>
                <w:szCs w:val="28"/>
                <w:shd w:fill="FFFFFF" w:val="clear"/>
              </w:rPr>
              <w:t xml:space="preserve">    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sz w:val="28"/>
                <w:szCs w:val="28"/>
                <w:shd w:fill="FFFFFF" w:val="clear"/>
              </w:rPr>
              <w:t>Проведено сравнение указанных вариантов правового регулирования.        Выбор варианта правового регулирования сделан исходя из оценки возможности достижения заявленной цели регулирования и оценки рисков нас</w:t>
            </w: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  <w:shd w:fill="FFFFFF" w:val="clear"/>
              </w:rPr>
              <w:t>тупления неблагоприятных последствий.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>
                <w:b w:val="false"/>
                <w:bCs w:val="false"/>
                <w:i w:val="false"/>
                <w:i w:val="false"/>
                <w:iCs w:val="false"/>
                <w:sz w:val="28"/>
                <w:szCs w:val="28"/>
                <w:shd w:fill="FFFFFF" w:val="clear"/>
              </w:rPr>
            </w:pP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  <w:shd w:fill="FFFFFF" w:val="clear"/>
              </w:rPr>
              <w:t xml:space="preserve">         </w:t>
            </w: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  <w:shd w:fill="FFFFFF" w:val="clear"/>
              </w:rPr>
              <w:t>Проведена оценка эффективности предложенных регулирующим органом вариантов правового регулирования, основанных на сведениях, содержащихся                    в соответствующих разделах сводного отчёта и установлено следующее: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/>
            </w:pP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  <w:shd w:fill="FFFFFF" w:val="clear"/>
              </w:rPr>
              <w:t xml:space="preserve">     </w:t>
            </w: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  <w:shd w:fill="FFFFFF" w:val="clear"/>
              </w:rPr>
              <w:t xml:space="preserve">- проблема, </w:t>
            </w:r>
            <w:r>
              <w:rPr>
                <w:sz w:val="28"/>
                <w:szCs w:val="28"/>
              </w:rPr>
              <w:t>на решение которой направлено правовое регулирование, сформулирована точно;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- определены потенциальные адресаты предполагаемого правового регулирования.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Ф</w:t>
            </w:r>
            <w:r>
              <w:rPr>
                <w:rStyle w:val="FontStyle21"/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изические лица, в том числе зарегистрированные в качестве индивидуальных предпринимателей, юридические лица или                                           их уполномоченные представители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. Количественная оценка участников:                                 в 2025  году за     предоставлением     муниципальной     услуги    обратилось    15 заявителей.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- цель предлагаемого правового регулирования разработчиком определена </w:t>
            </w:r>
            <w:r>
              <w:rPr>
                <w:sz w:val="28"/>
                <w:szCs w:val="28"/>
                <w:shd w:fill="auto" w:val="clear"/>
              </w:rPr>
              <w:t>объ</w:t>
            </w:r>
            <w:r>
              <w:rPr>
                <w:sz w:val="28"/>
                <w:szCs w:val="28"/>
              </w:rPr>
              <w:t>ективно,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- практическая    реализуемость     заявленных     целей     предполагаемого правового регулирования будет достигнута;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-  сроки достижения заявленной цели - с даты утверждения и вступления                в    силу  рассматриваемого    Проекта   МПА</w:t>
            </w:r>
            <w:r>
              <w:rPr>
                <w:rStyle w:val="111"/>
                <w:sz w:val="28"/>
                <w:szCs w:val="28"/>
              </w:rPr>
              <w:t>, в мониторинге достижения цели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/>
            </w:pPr>
            <w:r>
              <w:rPr>
                <w:rStyle w:val="111"/>
                <w:sz w:val="28"/>
                <w:szCs w:val="28"/>
              </w:rPr>
              <w:t>3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/>
            </w:pPr>
            <w:r>
              <w:rPr>
                <w:rStyle w:val="111"/>
                <w:sz w:val="28"/>
                <w:szCs w:val="28"/>
              </w:rPr>
              <w:t>не нуждается</w:t>
            </w:r>
            <w:r>
              <w:rPr>
                <w:sz w:val="28"/>
                <w:szCs w:val="28"/>
              </w:rPr>
              <w:t>;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>- оценка    дополнительных   расходов     и     доходов   потенциальных   лиц, участвующих  в   правоотношениях,   подлежащих   правовому  регулированию, и расходов местного бюджета, связанных с введением предлагаемого правового регулирования определена корректно;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- по мнению разработчика при принятии предлагаемого правового регулирования неблагоприятные последствия не наступят.</w:t>
            </w:r>
          </w:p>
          <w:p>
            <w:pPr>
              <w:pStyle w:val="Normal"/>
              <w:spacing w:lineRule="auto" w:line="240"/>
              <w:ind w:firstLine="743" w:left="0" w:right="0"/>
              <w:jc w:val="both"/>
              <w:rPr/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Выявленная проблема может быть решена исключительно посредством п</w:t>
            </w:r>
            <w:r>
              <w:rPr>
                <w:sz w:val="28"/>
                <w:szCs w:val="28"/>
                <w:shd w:fill="FFFFFF" w:val="clear"/>
              </w:rPr>
              <w:t>ринятия предлагаемого правового регулирования.</w:t>
            </w:r>
          </w:p>
          <w:p>
            <w:pPr>
              <w:pStyle w:val="Normal"/>
              <w:shd w:val="clear" w:fill="FFFFFF"/>
              <w:spacing w:lineRule="auto" w:line="240"/>
              <w:ind w:firstLine="743" w:left="0" w:right="0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 xml:space="preserve">    </w:t>
            </w:r>
            <w:r>
              <w:rPr>
                <w:sz w:val="28"/>
                <w:szCs w:val="28"/>
                <w:shd w:fill="FFFFFF" w:val="clear"/>
              </w:rPr>
              <w:t>В соответствии с   Порядком установлено следующее:</w:t>
            </w:r>
          </w:p>
          <w:p>
            <w:pPr>
              <w:pStyle w:val="Normal"/>
              <w:ind w:firstLine="743" w:left="0" w:right="0"/>
              <w:jc w:val="both"/>
              <w:rPr/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1. Потенциальные    группы    участников    общественных     отношений, интересы  которых    могут   быть   затронуты   правовым регулированием в части прав   и   обязанностей    субъектов    предпринимательской и инвестицион</w:t>
            </w:r>
            <w:r>
              <w:rPr>
                <w:sz w:val="28"/>
                <w:szCs w:val="28"/>
                <w:shd w:fill="auto" w:val="clear"/>
              </w:rPr>
              <w:t>ной деятельнос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ти </w:t>
            </w:r>
            <w:r>
              <w:rPr>
                <w:sz w:val="28"/>
                <w:szCs w:val="28"/>
                <w:shd w:fill="auto" w:val="clear"/>
              </w:rPr>
              <w:t>-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ф</w:t>
            </w:r>
            <w:r>
              <w:rPr>
                <w:rStyle w:val="FontStyle21"/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изические лица,                   в том числе зарегистрированные в качестве индивидуальных предпринимателей, юридические лица или  их уполномоченные представители.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DejaVu Sans" w:cs="Times New Roman"/>
                <w:bCs/>
                <w:color w:themeColor="dark1"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 Определить точное количество не представляется возможным  в связи                       с заявительным характером предлагаемого правового регулирования.  В 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2025  году за     предоставлением     муниципальной     услуги    обратилось                       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1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5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 заявителей.</w:t>
            </w:r>
          </w:p>
          <w:p>
            <w:pPr>
              <w:pStyle w:val="Normal"/>
              <w:ind w:firstLine="743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2.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eastAsia="DejaVu Sans" w:cs="Times New Roman"/>
                <w:bCs/>
                <w:color w:themeColor="dark1"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П</w:t>
            </w:r>
            <w:r>
              <w:rPr>
                <w:sz w:val="28"/>
                <w:szCs w:val="28"/>
              </w:rPr>
              <w:t>ро</w:t>
            </w:r>
            <w:r>
              <w:rPr>
                <w:sz w:val="28"/>
                <w:szCs w:val="28"/>
                <w:shd w:fill="auto" w:val="clear"/>
              </w:rPr>
              <w:t>блема, н</w:t>
            </w:r>
            <w:r>
              <w:rPr>
                <w:sz w:val="28"/>
                <w:szCs w:val="28"/>
              </w:rPr>
              <w:t>а решение которой направлено правовое регулирование:</w:t>
            </w:r>
          </w:p>
          <w:tbl>
            <w:tblPr>
              <w:tblW w:w="968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80"/>
            </w:tblGrid>
            <w:tr>
              <w:trPr>
                <w:trHeight w:val="5100" w:hRule="atLeast"/>
              </w:trPr>
              <w:tc>
                <w:tcPr>
                  <w:tcW w:w="9680" w:type="dxa"/>
                  <w:tcBorders/>
                </w:tcPr>
                <w:p>
                  <w:pPr>
                    <w:pStyle w:val="Normal"/>
                    <w:tabs>
                      <w:tab w:val="clear" w:pos="709"/>
                      <w:tab w:val="left" w:pos="1134" w:leader="none"/>
                    </w:tabs>
                    <w:suppressAutoHyphens w:val="true"/>
                    <w:spacing w:lineRule="auto" w:line="240" w:before="0" w:after="0"/>
                    <w:ind w:hanging="0"/>
                    <w:jc w:val="both"/>
                    <w:rPr>
                      <w:rFonts w:ascii="Times New Roman" w:hAnsi="Times New Roman" w:eastAsia="" w:cs="Times New Roman" w:eastAsiaTheme="minorEastAsia"/>
                      <w:color w:val="000000"/>
                      <w:sz w:val="28"/>
                      <w:szCs w:val="28"/>
                    </w:rPr>
                  </w:pPr>
                  <w:r>
                    <w:rPr>
                      <w:rStyle w:val="Style16"/>
                      <w:rFonts w:eastAsia="Sylfaen" w:cs="Times New Roman"/>
                      <w:b w:val="false"/>
                      <w:bCs/>
                      <w:i w:val="false"/>
                      <w:iCs/>
                      <w:color w:val="000000"/>
                      <w:spacing w:val="2"/>
                      <w:kern w:val="0"/>
                      <w:sz w:val="28"/>
                      <w:szCs w:val="28"/>
                      <w:shd w:fill="auto" w:val="clear"/>
                      <w:lang w:val="ru-RU" w:eastAsia="ru-RU" w:bidi="ar-SA"/>
                    </w:rPr>
                    <w:t>нецелесообразность (неудобство) использования действующего административного регламента по предоставлению Администрацией Услуги,             в связи с несоответствием его структуры и отдельных положений требованиям федерального законодательства, а именно статьи                                    55 Градостроительного кодекса Российской Федерации, постановления Правительства Российской Федерации от 20 июля 2021 г. № 1228                        «Об утверждении Правил разработки и утверждения административных регламентов предоставления государственных услуг, о внесении изменений 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            </w:r>
                </w:p>
                <w:p>
                  <w:pPr>
                    <w:pStyle w:val="Normal"/>
                    <w:ind w:firstLine="743" w:left="0" w:right="0"/>
                    <w:jc w:val="both"/>
                    <w:rPr/>
                  </w:pPr>
                  <w:r>
                    <w:rPr>
                      <w:rStyle w:val="Style16"/>
                      <w:sz w:val="28"/>
                      <w:szCs w:val="28"/>
                    </w:rPr>
                    <w:t xml:space="preserve">  </w:t>
                  </w:r>
                  <w:r>
                    <w:rPr>
                      <w:rStyle w:val="Style16"/>
                      <w:sz w:val="28"/>
                      <w:szCs w:val="28"/>
                    </w:rPr>
                    <w:t>Указанная проблема может быть решена исключительно посредством принятия предложенного документа.</w:t>
                  </w:r>
                </w:p>
                <w:p>
                  <w:pPr>
                    <w:pStyle w:val="Normal"/>
                    <w:ind w:hanging="0" w:left="0" w:right="0"/>
                    <w:jc w:val="both"/>
                    <w:rPr/>
                  </w:pPr>
                  <w:r>
                    <w:rPr>
                      <w:rStyle w:val="Style16"/>
                      <w:sz w:val="28"/>
                      <w:szCs w:val="28"/>
                    </w:rPr>
                    <w:t xml:space="preserve">        </w:t>
                  </w:r>
                  <w:r>
                    <w:rPr>
                      <w:rStyle w:val="Style16"/>
                      <w:sz w:val="28"/>
                      <w:szCs w:val="28"/>
                    </w:rPr>
                    <w:t xml:space="preserve">3. </w:t>
                  </w:r>
                  <w:r>
                    <w:rPr>
                      <w:rStyle w:val="Style16"/>
                      <w:rFonts w:eastAsia="Times New Roman" w:cs="Times New Roman"/>
                      <w:color w:val="auto"/>
                      <w:kern w:val="0"/>
                      <w:sz w:val="28"/>
                      <w:szCs w:val="28"/>
                      <w:lang w:val="ru-RU" w:eastAsia="ru-RU" w:bidi="ar-SA"/>
                    </w:rPr>
                    <w:t>П</w:t>
                  </w:r>
                  <w:r>
                    <w:rPr>
                      <w:rStyle w:val="Style16"/>
                      <w:rFonts w:eastAsia="Times New Roman" w:cs="Times New Roman"/>
                      <w:color w:val="000000"/>
                      <w:kern w:val="0"/>
                      <w:sz w:val="28"/>
                      <w:szCs w:val="28"/>
                      <w:shd w:fill="auto" w:val="clear"/>
                      <w:lang w:val="ru-RU" w:eastAsia="ru-RU" w:bidi="ar-SA"/>
                    </w:rPr>
                    <w:t xml:space="preserve">роект   </w:t>
                  </w:r>
                  <w:r>
                    <w:rPr>
                      <w:rStyle w:val="Style16"/>
                      <w:rFonts w:eastAsia="Times New Roman" w:cs="Times New Roman"/>
                      <w:color w:val="auto"/>
                      <w:kern w:val="0"/>
                      <w:sz w:val="28"/>
                      <w:szCs w:val="28"/>
                      <w:lang w:val="ru-RU" w:eastAsia="ru-RU" w:bidi="ar-SA"/>
                    </w:rPr>
                    <w:t xml:space="preserve">разработан в  целях  </w:t>
                  </w:r>
                  <w:r>
                    <w:rPr>
                      <w:rStyle w:val="Style16"/>
                      <w:rFonts w:eastAsia="Times New Roman" w:cs="Times New Roman"/>
                      <w:b w:val="false"/>
                      <w:bCs/>
                      <w:i w:val="false"/>
                      <w:iCs/>
                      <w:color w:val="000000"/>
                      <w:kern w:val="0"/>
                      <w:sz w:val="28"/>
                      <w:szCs w:val="28"/>
                      <w:shd w:fill="auto" w:val="clear"/>
                      <w:lang w:bidi="ar-SA"/>
                    </w:rPr>
                    <w:t>предоставлени</w:t>
                  </w:r>
                  <w:r>
                    <w:rPr>
                      <w:rStyle w:val="Style16"/>
                      <w:rFonts w:eastAsia="Times New Roman" w:cs="Times New Roman"/>
                      <w:b w:val="false"/>
                      <w:bCs/>
                      <w:i w:val="false"/>
                      <w:iCs/>
                      <w:color w:val="000000"/>
                      <w:kern w:val="0"/>
                      <w:sz w:val="28"/>
                      <w:szCs w:val="28"/>
                      <w:shd w:fill="auto" w:val="clear"/>
                      <w:lang w:bidi="ar-SA"/>
                    </w:rPr>
                    <w:t>я</w:t>
                  </w:r>
                  <w:r>
                    <w:rPr>
                      <w:rStyle w:val="Style16"/>
                      <w:rFonts w:eastAsia="Times New Roman" w:cs="Times New Roman"/>
                      <w:b w:val="false"/>
                      <w:bCs/>
                      <w:i w:val="false"/>
                      <w:iCs/>
                      <w:color w:val="000000"/>
                      <w:kern w:val="0"/>
                      <w:sz w:val="28"/>
                      <w:szCs w:val="28"/>
                      <w:shd w:fill="auto" w:val="clear"/>
                      <w:lang w:bidi="ar-SA"/>
                    </w:rPr>
                    <w:t xml:space="preserve"> Администрацией муниципальной услуги (далее –</w:t>
                  </w:r>
                  <w:r>
                    <w:rPr>
                      <w:rStyle w:val="Style16"/>
                      <w:rFonts w:eastAsia="Times New Roman" w:cs="Times New Roman"/>
                      <w:b w:val="false"/>
                      <w:bCs/>
                      <w:i w:val="false"/>
                      <w:iCs/>
                      <w:color w:themeColor="text1" w:val="000000"/>
                      <w:kern w:val="0"/>
                      <w:sz w:val="28"/>
                      <w:szCs w:val="28"/>
                      <w:shd w:fill="auto" w:val="clear"/>
                      <w:lang w:bidi="ar-SA"/>
                    </w:rPr>
                    <w:t>Услуга)</w:t>
                  </w:r>
                  <w:r>
                    <w:rPr>
                      <w:rStyle w:val="Style16"/>
                      <w:rFonts w:eastAsia="Times New Roman" w:cs="Times New Roman"/>
                      <w:b w:val="false"/>
                      <w:bCs/>
                      <w:i w:val="false"/>
                      <w:iCs/>
                      <w:color w:val="000000"/>
                      <w:kern w:val="0"/>
                      <w:sz w:val="28"/>
                      <w:szCs w:val="28"/>
                      <w:shd w:fill="auto" w:val="clear"/>
                      <w:lang w:bidi="ar-SA"/>
                    </w:rPr>
                    <w:t xml:space="preserve"> «</w:t>
                  </w:r>
                  <w:r>
                    <w:rPr>
                      <w:rStyle w:val="Style16"/>
                      <w:rFonts w:eastAsia="Sylfaen" w:cs="Times New Roman"/>
                      <w:b w:val="false"/>
                      <w:bCs/>
                      <w:i w:val="false"/>
                      <w:iCs/>
                      <w:color w:val="000000"/>
                      <w:kern w:val="0"/>
                      <w:sz w:val="28"/>
                      <w:szCs w:val="28"/>
                      <w:shd w:fill="auto" w:val="clear"/>
                      <w:lang w:bidi="ar-SA"/>
                    </w:rPr>
                    <w:t>Выдача разрешений на ввод                         в эксплуатацию построенных, реконструированных объектов капитального строительства</w:t>
                  </w:r>
                  <w:r>
                    <w:rPr>
                      <w:rStyle w:val="Style16"/>
                      <w:rFonts w:eastAsia="Times New Roman" w:cs="Times New Roman"/>
                      <w:b w:val="false"/>
                      <w:bCs/>
                      <w:i w:val="false"/>
                      <w:iCs/>
                      <w:color w:val="000000"/>
                      <w:kern w:val="0"/>
                      <w:sz w:val="28"/>
                      <w:szCs w:val="28"/>
                      <w:shd w:fill="auto" w:val="clear"/>
                      <w:lang w:bidi="ar-SA"/>
                    </w:rPr>
                    <w:t xml:space="preserve">» </w:t>
                  </w:r>
                  <w:r>
                    <w:rPr>
                      <w:rStyle w:val="111"/>
                      <w:rFonts w:eastAsia="Times New Roman" w:cs="Times New Roman"/>
                      <w:b w:val="false"/>
                      <w:bCs/>
                      <w:i w:val="false"/>
                      <w:iCs/>
                      <w:kern w:val="0"/>
                      <w:sz w:val="28"/>
                      <w:szCs w:val="28"/>
                      <w:shd w:fill="auto" w:val="clear"/>
                      <w:lang w:bidi="ar-SA"/>
                    </w:rPr>
                    <w:t>в соответстви</w:t>
                  </w:r>
                  <w:r>
                    <w:rPr>
                      <w:rStyle w:val="111"/>
                      <w:rFonts w:eastAsia="Times New Roman" w:cs="Times New Roman"/>
                      <w:b w:val="false"/>
                      <w:bCs/>
                      <w:i w:val="false"/>
                      <w:iCs/>
                      <w:kern w:val="0"/>
                      <w:sz w:val="28"/>
                      <w:szCs w:val="28"/>
                      <w:shd w:fill="auto" w:val="clear"/>
                      <w:lang w:bidi="ar-SA"/>
                    </w:rPr>
                    <w:t xml:space="preserve">и </w:t>
                  </w:r>
                  <w:r>
                    <w:rPr>
                      <w:rStyle w:val="111"/>
                      <w:rFonts w:eastAsia="Times New Roman" w:cs="Times New Roman"/>
                      <w:b w:val="false"/>
                      <w:bCs/>
                      <w:i w:val="false"/>
                      <w:iCs/>
                      <w:kern w:val="0"/>
                      <w:sz w:val="28"/>
                      <w:szCs w:val="28"/>
                      <w:shd w:fill="auto" w:val="clear"/>
                      <w:lang w:bidi="ar-SA"/>
                    </w:rPr>
                    <w:t>с требованиями действующего законодательства.</w:t>
                  </w:r>
                </w:p>
                <w:p>
                  <w:pPr>
                    <w:pStyle w:val="Normal"/>
                    <w:ind w:firstLine="743" w:left="0" w:right="0"/>
                    <w:jc w:val="both"/>
                    <w:rPr/>
                  </w:pPr>
                  <w:r>
                    <w:rPr>
                      <w:rStyle w:val="Style16"/>
                      <w:sz w:val="28"/>
                      <w:szCs w:val="28"/>
                    </w:rPr>
                    <w:t>Вышеуказанные цели соответствуют принципам правового регулирования, установленным законодательством Российской Федерации               и     Краснодарского края.</w:t>
                  </w:r>
                </w:p>
              </w:tc>
            </w:tr>
          </w:tbl>
          <w:p>
            <w:pPr>
              <w:pStyle w:val="Normal"/>
              <w:ind w:firstLine="743" w:left="0" w:right="0"/>
              <w:jc w:val="both"/>
              <w:rPr/>
            </w:pPr>
            <w:bookmarkStart w:id="1" w:name="_Hlk1212346144"/>
            <w:bookmarkEnd w:id="1"/>
            <w:r>
              <w:rPr>
                <w:sz w:val="28"/>
                <w:szCs w:val="28"/>
              </w:rPr>
              <w:t xml:space="preserve">4. </w:t>
            </w:r>
            <w:r>
              <w:rPr>
                <w:rStyle w:val="Style16"/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Проект МПА содержит положения, устанавливающие новые обязательные    требования     для      субъектов     предпринимательской и иной</w:t>
            </w:r>
          </w:p>
          <w:p>
            <w:pPr>
              <w:pStyle w:val="Normal"/>
              <w:ind w:firstLine="743" w:left="0" w:right="0"/>
              <w:jc w:val="center"/>
              <w:rPr/>
            </w:pPr>
            <w:r>
              <w:rPr>
                <w:rStyle w:val="Style16"/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  <w:p>
            <w:pPr>
              <w:pStyle w:val="Normal"/>
              <w:ind w:hanging="0" w:left="0" w:right="0"/>
              <w:jc w:val="both"/>
              <w:rPr/>
            </w:pPr>
            <w:r>
              <w:rPr>
                <w:rStyle w:val="Style16"/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экономич</w:t>
            </w:r>
            <w:r>
              <w:rPr>
                <w:rStyle w:val="Style16"/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еской деятельности, обязанности для субъектов инвестиционной деятельности, п</w:t>
            </w:r>
            <w:r>
              <w:rPr>
                <w:rStyle w:val="Style16"/>
                <w:rFonts w:eastAsia="DejaVu Sans" w:cs="Times New Roman"/>
                <w:bCs/>
                <w:color w:themeColor="dark1"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роектом МПА </w:t>
            </w:r>
            <w:r>
              <w:rPr>
                <w:rStyle w:val="Style16"/>
                <w:rFonts w:eastAsia="Times New Roman" w:cs="Times New Roman"/>
                <w:bCs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п</w:t>
            </w:r>
            <w:r>
              <w:rPr>
                <w:rStyle w:val="Style16"/>
                <w:rFonts w:eastAsia="DejaVu Sans" w:cs="Times New Roman"/>
                <w:bCs/>
                <w:color w:themeColor="dark1"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редусмотрена новая форма административного регламента предоставления муниципальной услуги.</w:t>
            </w:r>
          </w:p>
          <w:p>
            <w:pPr>
              <w:pStyle w:val="Normal"/>
              <w:tabs>
                <w:tab w:val="clear" w:pos="709"/>
                <w:tab w:val="left" w:pos="993" w:leader="none"/>
              </w:tabs>
              <w:spacing w:lineRule="auto" w:line="240"/>
              <w:ind w:firstLine="743" w:left="0" w:right="0"/>
              <w:jc w:val="both"/>
              <w:rPr/>
            </w:pPr>
            <w:r>
              <w:rPr>
                <w:sz w:val="28"/>
                <w:szCs w:val="28"/>
              </w:rPr>
              <w:t>5. Риски  недостижения   це</w:t>
            </w:r>
            <w:r>
              <w:rPr>
                <w:sz w:val="28"/>
                <w:szCs w:val="28"/>
                <w:shd w:fill="FFFFFF" w:val="clear"/>
              </w:rPr>
              <w:t>лей     правового регу</w:t>
            </w:r>
            <w:r>
              <w:rPr>
                <w:sz w:val="28"/>
                <w:szCs w:val="28"/>
              </w:rPr>
              <w:t xml:space="preserve">лирования, а  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также</w:t>
            </w:r>
            <w:r>
              <w:rPr>
                <w:sz w:val="28"/>
                <w:szCs w:val="28"/>
              </w:rPr>
              <w:t xml:space="preserve">        возможные         негативные       последствия от введения правового регулирования для экономического развития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МО</w:t>
            </w:r>
            <w:r>
              <w:rPr>
                <w:sz w:val="28"/>
                <w:szCs w:val="28"/>
              </w:rPr>
              <w:t xml:space="preserve"> Курганинский район </w:t>
            </w:r>
            <w:r>
              <w:rPr>
                <w:rFonts w:cs="Times New Roman CYR" w:ascii="Times New Roman CYR" w:hAnsi="Times New Roman CYR"/>
                <w:color w:val="00000A"/>
                <w:sz w:val="28"/>
                <w:szCs w:val="28"/>
              </w:rPr>
              <w:t>отсутствуют.</w:t>
            </w:r>
          </w:p>
          <w:p>
            <w:pPr>
              <w:pStyle w:val="Normal"/>
              <w:tabs>
                <w:tab w:val="clear" w:pos="709"/>
                <w:tab w:val="left" w:pos="993" w:leader="none"/>
              </w:tabs>
              <w:spacing w:lineRule="auto" w:line="240"/>
              <w:ind w:firstLine="743" w:left="0" w:right="0"/>
              <w:jc w:val="both"/>
              <w:rPr/>
            </w:pPr>
            <w:r>
              <w:rPr>
                <w:rFonts w:cs="Times New Roman CYR" w:ascii="Times New Roman CYR" w:hAnsi="Times New Roman CYR"/>
                <w:color w:val="00000A"/>
                <w:sz w:val="28"/>
                <w:szCs w:val="28"/>
              </w:rPr>
              <w:t xml:space="preserve">6. </w:t>
            </w:r>
            <w:r>
              <w:rPr>
                <w:rFonts w:eastAsia="DejaVu Sans" w:cs="Times New Roman CYR" w:ascii="Times New Roman CYR" w:hAnsi="Times New Roman CYR"/>
                <w:color w:val="00000A"/>
                <w:sz w:val="28"/>
                <w:szCs w:val="28"/>
              </w:rPr>
              <w:t>Дополнительные расходы местного бюджета (бюджета  муниципального образования Курганинский район), связанные с введением предлагаемого правового регулирования, не предполагаются.</w:t>
            </w:r>
          </w:p>
          <w:p>
            <w:pPr>
              <w:pStyle w:val="Normal"/>
              <w:ind w:firstLine="709"/>
              <w:jc w:val="both"/>
              <w:rPr>
                <w:shd w:fill="auto" w:val="clear"/>
              </w:rPr>
            </w:pPr>
            <w:r>
              <w:rPr>
                <w:rFonts w:cs="Times New Roman"/>
                <w:sz w:val="28"/>
                <w:szCs w:val="28"/>
                <w:shd w:fill="auto" w:val="clear"/>
              </w:rPr>
              <w:t>Дополнительные расходы потенциальных адресатов предлагаемого правового регулирования, связанные с введением предлагаемого регулирования, предполагаются</w:t>
            </w:r>
            <w:r>
              <w:rPr>
                <w:rFonts w:cs="Times New Roman"/>
                <w:color w:themeColor="dark1" w:val="000000"/>
                <w:sz w:val="28"/>
                <w:szCs w:val="28"/>
                <w:shd w:fill="auto" w:val="clear"/>
              </w:rPr>
              <w:t xml:space="preserve"> в виде информационных издержек, связанных с трудозатратами на предоставление заявления о предоставлении муниципальной услуги и документов в расчете на одного заявителя </w:t>
            </w:r>
            <w:r>
              <w:rPr>
                <w:rFonts w:cs="Times New Roman"/>
                <w:sz w:val="28"/>
                <w:szCs w:val="28"/>
                <w:shd w:fill="auto" w:val="clear"/>
              </w:rPr>
              <w:t>в</w:t>
            </w:r>
            <w:r>
              <w:rPr>
                <w:rFonts w:cs="Times New Roman"/>
                <w:color w:themeColor="dark1" w:val="000000"/>
                <w:sz w:val="28"/>
                <w:szCs w:val="28"/>
                <w:shd w:fill="auto" w:val="clear"/>
              </w:rPr>
              <w:t xml:space="preserve"> размере </w:t>
            </w:r>
            <w:r>
              <w:rPr>
                <w:rFonts w:cs="Times New Roman"/>
                <w:sz w:val="28"/>
                <w:szCs w:val="28"/>
                <w:shd w:fill="auto" w:val="clear"/>
              </w:rPr>
              <w:t>примерн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о </w:t>
            </w:r>
            <w:r>
              <w:rPr>
                <w:rStyle w:val="111"/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2010,23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  руб</w:t>
            </w:r>
            <w:r>
              <w:rPr>
                <w:rFonts w:cs="Times New Roman"/>
                <w:sz w:val="28"/>
                <w:szCs w:val="28"/>
                <w:shd w:fill="auto" w:val="clear"/>
              </w:rPr>
              <w:t xml:space="preserve">. или </w:t>
            </w:r>
            <w:r>
              <w:rPr>
                <w:rStyle w:val="111"/>
                <w:rFonts w:eastAsia="Times New Roman" w:cs="Times New Roman"/>
                <w:color w:themeColor="dark1"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30153,45</w:t>
            </w:r>
            <w:r>
              <w:rPr>
                <w:rFonts w:eastAsia="Times New Roman" w:cs="Times New Roman"/>
                <w:color w:themeColor="dark1"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 р</w:t>
            </w:r>
            <w:r>
              <w:rPr>
                <w:rFonts w:cs="Times New Roman"/>
                <w:sz w:val="28"/>
                <w:szCs w:val="28"/>
                <w:shd w:fill="auto" w:val="clear"/>
              </w:rPr>
              <w:t>уб. в расчете на 1</w:t>
            </w:r>
            <w:r>
              <w:rPr>
                <w:rFonts w:cs="Times New Roman"/>
                <w:sz w:val="28"/>
                <w:szCs w:val="28"/>
                <w:shd w:fill="auto" w:val="clear"/>
              </w:rPr>
              <w:t xml:space="preserve">5 </w:t>
            </w:r>
            <w:r>
              <w:rPr>
                <w:rFonts w:cs="Times New Roman"/>
                <w:sz w:val="28"/>
                <w:szCs w:val="28"/>
                <w:shd w:fill="auto" w:val="clear"/>
              </w:rPr>
              <w:t>заявителей.</w:t>
            </w:r>
          </w:p>
          <w:p>
            <w:pPr>
              <w:pStyle w:val="Normal"/>
              <w:spacing w:lineRule="auto" w:line="240" w:before="0" w:after="0"/>
              <w:ind w:firstLine="709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В соответствии с Методикой оценки стандартных издержек субъектов предпринимательской и иной экономической деятельности, возникающих                   в связи с исполнением требований регулирования, утвержденной приказом Минэкономразвития России от 1 февраля 2024 г. № 54, информационные                 издержки регулирования включают в себя затраты на подготовку, сбор                         и представление информации (документов, сведений) в соответствии                           с требованиями проекта.</w:t>
            </w:r>
          </w:p>
          <w:p>
            <w:pPr>
              <w:pStyle w:val="ConsPlusNonformat"/>
              <w:ind w:firstLine="709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1) Расчет издержек на подготовку и представление заявления                             и документов: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cs="Times New Roman"/>
                <w:color w:val="000000"/>
                <w:sz w:val="28"/>
                <w:szCs w:val="28"/>
              </w:rPr>
              <w:t>название требования: временные издержки на представление заявления                и документов;</w:t>
            </w:r>
          </w:p>
          <w:p>
            <w:pPr>
              <w:pStyle w:val="Normal"/>
              <w:spacing w:lineRule="auto" w:line="240" w:before="0" w:after="0"/>
              <w:ind w:firstLine="709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тип требования: предоставление информации;</w:t>
            </w:r>
          </w:p>
          <w:p>
            <w:pPr>
              <w:pStyle w:val="Normal"/>
              <w:spacing w:lineRule="auto" w:line="240" w:before="0" w:after="0"/>
              <w:ind w:firstLine="709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раздел требования: информационное;</w:t>
            </w:r>
          </w:p>
          <w:p>
            <w:pPr>
              <w:pStyle w:val="Normal"/>
              <w:spacing w:lineRule="auto" w:line="240" w:before="0" w:after="0"/>
              <w:ind w:firstLine="709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действия:</w:t>
            </w:r>
          </w:p>
          <w:p>
            <w:pPr>
              <w:pStyle w:val="Normal"/>
              <w:spacing w:lineRule="auto" w:line="240" w:before="0" w:after="0"/>
              <w:ind w:firstLine="709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написание любого документа низкого уровня сложности (менее 5 стр. печатного текста) - 1 чел./часов.</w:t>
            </w:r>
          </w:p>
          <w:p>
            <w:pPr>
              <w:pStyle w:val="Normal"/>
              <w:spacing w:lineRule="auto" w:line="240" w:before="0" w:after="0"/>
              <w:ind w:firstLine="720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копирование документов – 1 чел./часов.</w:t>
            </w:r>
          </w:p>
          <w:p>
            <w:pPr>
              <w:pStyle w:val="Normal"/>
              <w:spacing w:lineRule="auto" w:line="240" w:before="0" w:after="0"/>
              <w:ind w:firstLine="720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подача заявления – 1 чел./час.</w:t>
            </w:r>
          </w:p>
          <w:p>
            <w:pPr>
              <w:pStyle w:val="Normal"/>
              <w:shd w:val="clear" w:color="auto" w:fill="FFFFFF"/>
              <w:suppressAutoHyphens w:val="true"/>
              <w:spacing w:lineRule="auto" w:line="240" w:before="0" w:after="0"/>
              <w:ind w:firstLine="709"/>
              <w:jc w:val="both"/>
              <w:rPr/>
            </w:pPr>
            <w:r>
              <w:rPr>
                <w:rFonts w:cs="Times New Roman"/>
                <w:bCs/>
                <w:color w:val="000000"/>
                <w:sz w:val="28"/>
                <w:szCs w:val="28"/>
              </w:rPr>
              <w:t>Среднемесячная заработная плата по Краснодарскому краю                              за 2025 г.: 80518 руб.</w:t>
            </w:r>
          </w:p>
          <w:p>
            <w:pPr>
              <w:pStyle w:val="25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709"/>
              <w:jc w:val="both"/>
              <w:rPr/>
            </w:pPr>
            <w:r>
              <w:rPr>
                <w:rStyle w:val="111"/>
                <w:rFonts w:eastAsia="Times New Roman" w:cs="Times New Roman"/>
                <w:bCs/>
                <w:sz w:val="28"/>
                <w:szCs w:val="28"/>
                <w:shd w:fill="auto" w:val="clear"/>
              </w:rPr>
              <w:t>Средняя стоимость часа работы: 489,05 руб.</w:t>
            </w:r>
          </w:p>
          <w:p>
            <w:pPr>
              <w:pStyle w:val="Normal"/>
              <w:shd w:val="clear" w:color="auto" w:fill="FFFFFF"/>
              <w:suppressAutoHyphens w:val="true"/>
              <w:spacing w:lineRule="auto" w:line="240" w:before="0" w:after="0"/>
              <w:ind w:firstLine="709"/>
              <w:jc w:val="both"/>
              <w:rPr/>
            </w:pPr>
            <w:r>
              <w:rPr>
                <w:rFonts w:cs="Times New Roman"/>
                <w:bCs/>
                <w:color w:val="000000"/>
                <w:sz w:val="28"/>
                <w:szCs w:val="28"/>
              </w:rPr>
              <w:t>Коэффициент налоговых отчислений и иных обязательных платежей, связанных с оплатой труда штатных работнико</w:t>
            </w:r>
            <w:r>
              <w:rPr>
                <w:rFonts w:cs="Times New Roman"/>
                <w:bCs/>
                <w:color w:val="000000"/>
                <w:sz w:val="28"/>
                <w:szCs w:val="28"/>
                <w:shd w:fill="auto" w:val="clear"/>
              </w:rPr>
              <w:t>в: 1,302;</w:t>
            </w:r>
          </w:p>
          <w:p>
            <w:pPr>
              <w:pStyle w:val="Normal"/>
              <w:spacing w:lineRule="auto" w:line="240" w:before="0" w:after="0"/>
              <w:ind w:firstLine="709"/>
              <w:rPr/>
            </w:pP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частота представления: 1 ед.;   </w:t>
            </w:r>
          </w:p>
          <w:p>
            <w:pPr>
              <w:pStyle w:val="Normal"/>
              <w:spacing w:lineRule="auto" w:line="240" w:before="0" w:after="0"/>
              <w:ind w:firstLine="709"/>
              <w:rPr/>
            </w:pPr>
            <w:r>
              <w:rPr>
                <w:rFonts w:cs="Times New Roman"/>
                <w:bCs/>
                <w:color w:val="000000"/>
                <w:sz w:val="28"/>
                <w:szCs w:val="28"/>
                <w:shd w:fill="auto" w:val="clear"/>
              </w:rPr>
              <w:t xml:space="preserve">расчет стоимости требования: (1 чел./час+1 чел./час+1 чел./час.)*489,05 руб.*1,302=1910,23 руб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 в расчете на одного потенциального адресата.</w:t>
            </w:r>
          </w:p>
          <w:p>
            <w:pPr>
              <w:pStyle w:val="Normal"/>
              <w:spacing w:lineRule="auto" w:line="240" w:before="0" w:after="0"/>
              <w:ind w:firstLine="720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Стоимость требования в расч</w:t>
            </w:r>
            <w:r>
              <w:rPr>
                <w:rFonts w:cs="Times New Roman"/>
                <w:color w:val="000000"/>
                <w:sz w:val="28"/>
                <w:szCs w:val="28"/>
                <w:shd w:fill="auto" w:val="clear"/>
              </w:rPr>
              <w:t>ете  на  группу потенциальных адресатов:</w:t>
            </w:r>
          </w:p>
          <w:p>
            <w:pPr>
              <w:pStyle w:val="Normal"/>
              <w:spacing w:lineRule="auto" w:line="240" w:before="0" w:after="0"/>
              <w:ind w:firstLine="720"/>
              <w:rPr/>
            </w:pPr>
            <w:r>
              <w:rPr>
                <w:rFonts w:cs="Times New Roman"/>
                <w:color w:val="000000"/>
                <w:sz w:val="28"/>
                <w:szCs w:val="28"/>
                <w:shd w:fill="auto" w:val="clear"/>
              </w:rPr>
              <w:t>Масштаб субъектов</w:t>
            </w:r>
            <w:r>
              <w:rPr>
                <w:rFonts w:cs="Times New Roman"/>
                <w:color w:val="000000"/>
                <w:sz w:val="28"/>
                <w:szCs w:val="28"/>
              </w:rPr>
              <w:t>:</w:t>
            </w:r>
            <w:r>
              <w:rPr>
                <w:rFonts w:cs="Times New Roman"/>
                <w:color w:val="000000"/>
                <w:sz w:val="28"/>
                <w:szCs w:val="28"/>
                <w:shd w:fill="auto" w:val="clear"/>
              </w:rPr>
              <w:t xml:space="preserve"> 15 ед.</w:t>
            </w:r>
          </w:p>
          <w:p>
            <w:pPr>
              <w:pStyle w:val="Normal"/>
              <w:spacing w:lineRule="auto" w:line="240" w:before="0" w:after="0"/>
              <w:ind w:firstLine="720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5</w:t>
            </w:r>
          </w:p>
          <w:p>
            <w:pPr>
              <w:pStyle w:val="Normal"/>
              <w:spacing w:lineRule="auto" w:line="240" w:before="0" w:after="0"/>
              <w:ind w:firstLine="720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1910,23 руб.*15 ед.=28653,45 руб. в расчете н</w:t>
            </w:r>
            <w:r>
              <w:rPr>
                <w:rFonts w:cs="Times New Roman"/>
                <w:color w:val="000000"/>
                <w:sz w:val="28"/>
                <w:szCs w:val="28"/>
                <w:shd w:fill="auto" w:val="clear"/>
              </w:rPr>
              <w:t>а 15 по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тенциальных адресатов. </w:t>
            </w:r>
          </w:p>
          <w:p>
            <w:pPr>
              <w:pStyle w:val="Normal"/>
              <w:spacing w:lineRule="auto" w:line="240" w:before="0" w:after="0"/>
              <w:ind w:firstLine="720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2) Расчет издержек на приобретение расходных материалов: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cs="Times New Roman"/>
                <w:color w:val="000000"/>
                <w:sz w:val="28"/>
                <w:szCs w:val="28"/>
              </w:rPr>
              <w:t>название требования: издержки, связанные с приобретением расходных материалов для представления заявлений и документов;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           </w:t>
            </w:r>
            <w:r>
              <w:rPr>
                <w:rFonts w:cs="Times New Roman"/>
                <w:color w:val="000000"/>
                <w:sz w:val="28"/>
                <w:szCs w:val="28"/>
              </w:rPr>
              <w:t>тип требования: издержки, связанные с приобретением;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           </w:t>
            </w:r>
            <w:r>
              <w:rPr>
                <w:rFonts w:cs="Times New Roman"/>
                <w:color w:val="000000"/>
                <w:sz w:val="28"/>
                <w:szCs w:val="28"/>
              </w:rPr>
              <w:t>раздел требования: информационное;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cs="Times New Roman"/>
                <w:color w:val="000000"/>
                <w:sz w:val="28"/>
                <w:szCs w:val="28"/>
              </w:rPr>
              <w:t>список приобретений: расходные материалы и канцелярские товары -                100 руб.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ab/>
              <w:t>частота приобретения: 1 ед.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ab/>
              <w:t>Стоимость требования в расчете на одного потенциального адресата:              100 руб.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         </w:t>
            </w:r>
            <w:r>
              <w:rPr>
                <w:rFonts w:cs="Times New Roman"/>
                <w:color w:val="000000"/>
                <w:sz w:val="28"/>
                <w:szCs w:val="28"/>
              </w:rPr>
              <w:t>Стоимость требования в расчете на</w:t>
              <w:tab/>
              <w:t>группу потенциальных адресатов: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масштаб субъектов: 15 ед.;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ab/>
              <w:t>100 руб.*15 ед.=1500 рублей в расчете на 15 потенциальных адресата.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ab/>
              <w:t>3) Общий размер информационных издержек на соблюдение требований, предусмотренных проектов в расчете на 1 потенциального адресата: 1910,23 руб.+100 руб. =2010,23 руб.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ab/>
              <w:t>Общий размер информационных издержек на соблюдение требований, предусмотренных проектов в расчете на группу потенциальных адресатов: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ab/>
              <w:t>масштаб субъектов: 15 ед.;</w:t>
              <w:tab/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auto" w:val="clear"/>
              </w:rPr>
              <w:tab/>
              <w:t>2010,23 руб.*15 ед=30153,45руб. в расчете на 15 потенциальных адресата.</w:t>
            </w:r>
          </w:p>
          <w:p>
            <w:pPr>
              <w:pStyle w:val="Normal"/>
              <w:tabs>
                <w:tab w:val="clear" w:pos="709"/>
                <w:tab w:val="left" w:pos="993" w:leader="none"/>
              </w:tabs>
              <w:spacing w:lineRule="auto" w:line="240"/>
              <w:ind w:firstLine="743" w:left="0" w:right="0"/>
              <w:jc w:val="both"/>
              <w:rPr/>
            </w:pPr>
            <w:r>
              <w:rPr>
                <w:sz w:val="28"/>
                <w:szCs w:val="28"/>
              </w:rPr>
              <w:t xml:space="preserve">7. В соответствии с Порядком уполномоченный орган провел публичные консультации по проекту в период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со </w:t>
            </w:r>
            <w:r>
              <w:rPr>
                <w:rFonts w:eastAsia="Times New Roman" w:cs="Times New Roman"/>
                <w:sz w:val="28"/>
                <w:szCs w:val="28"/>
              </w:rPr>
              <w:t>4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по 1</w:t>
            </w:r>
            <w:r>
              <w:rPr>
                <w:rFonts w:eastAsia="Times New Roman" w:cs="Times New Roman"/>
                <w:sz w:val="28"/>
                <w:szCs w:val="28"/>
              </w:rPr>
              <w:t>7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eastAsia="Times New Roman" w:cs="Times New Roman"/>
                <w:sz w:val="28"/>
                <w:szCs w:val="28"/>
              </w:rPr>
              <w:t>августа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</w:rPr>
              <w:t>2026 года.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>8. Информация о проводимых публичных консультациях была размещена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официальном сайте администрации МО Курганинский район                            </w:t>
            </w:r>
            <w:hyperlink r:id="rId2">
              <w:r>
                <w:rPr>
                  <w:rStyle w:val="Hyperlink"/>
                  <w:color w:val="000000"/>
                  <w:sz w:val="28"/>
                  <w:szCs w:val="28"/>
                  <w:u w:val="none"/>
                </w:rPr>
                <w:t xml:space="preserve">www: </w:t>
              </w:r>
              <w:r>
                <w:rPr>
                  <w:rStyle w:val="Hyperlink"/>
                  <w:color w:val="000000"/>
                  <w:sz w:val="28"/>
                  <w:szCs w:val="28"/>
                  <w:u w:val="none"/>
                  <w:lang w:val="en-US"/>
                </w:rPr>
                <w:t>admkurganinsk</w:t>
              </w:r>
              <w:r>
                <w:rPr>
                  <w:rStyle w:val="Hyperlink"/>
                  <w:color w:val="000000"/>
                  <w:sz w:val="28"/>
                  <w:szCs w:val="28"/>
                  <w:u w:val="none"/>
                </w:rPr>
                <w:t>.ru</w:t>
              </w:r>
            </w:hyperlink>
            <w:r>
              <w:rPr>
                <w:color w:val="000000"/>
                <w:sz w:val="28"/>
                <w:szCs w:val="28"/>
                <w:u w:val="none"/>
              </w:rPr>
              <w:t>.</w:t>
            </w:r>
          </w:p>
          <w:p>
            <w:pPr>
              <w:pStyle w:val="Normal"/>
              <w:tabs>
                <w:tab w:val="clear" w:pos="709"/>
                <w:tab w:val="left" w:pos="5387" w:leader="none"/>
              </w:tabs>
              <w:spacing w:lineRule="auto" w:line="240"/>
              <w:jc w:val="both"/>
              <w:rPr/>
            </w:pPr>
            <w:r>
              <w:rPr>
                <w:sz w:val="28"/>
                <w:szCs w:val="28"/>
                <w:shd w:fill="auto" w:val="clear"/>
              </w:rPr>
              <w:t xml:space="preserve">    </w:t>
            </w:r>
            <w:r>
              <w:rPr>
                <w:sz w:val="28"/>
                <w:szCs w:val="28"/>
                <w:shd w:fill="auto" w:val="clear"/>
              </w:rPr>
              <w:t>9</w:t>
            </w:r>
            <w:r>
              <w:rPr>
                <w:sz w:val="28"/>
                <w:szCs w:val="28"/>
                <w:shd w:fill="auto" w:val="clear"/>
              </w:rPr>
              <w:t xml:space="preserve">. В период     проведения        публичных    консультаций                     замечаний </w:t>
            </w:r>
            <w:r>
              <w:rPr>
                <w:sz w:val="28"/>
                <w:szCs w:val="28"/>
              </w:rPr>
              <w:t xml:space="preserve">и предложений от участников публичных консультаций не поступило. Получены   ответы   от   участников   публичных  консультаций:   </w:t>
            </w:r>
            <w:r>
              <w:rPr>
                <w:rStyle w:val="0pt"/>
                <w:rFonts w:eastAsia="Calibri"/>
                <w:sz w:val="28"/>
                <w:szCs w:val="28"/>
              </w:rPr>
              <w:t>руководителя</w:t>
            </w:r>
          </w:p>
          <w:p>
            <w:pPr>
              <w:pStyle w:val="Normal"/>
              <w:tabs>
                <w:tab w:val="clear" w:pos="709"/>
                <w:tab w:val="left" w:pos="5387" w:leader="none"/>
              </w:tabs>
              <w:spacing w:lineRule="auto" w:line="240"/>
              <w:jc w:val="both"/>
              <w:rPr/>
            </w:pPr>
            <w:r>
              <w:rPr>
                <w:rStyle w:val="0pt"/>
                <w:rFonts w:eastAsia="Calibri"/>
                <w:sz w:val="28"/>
                <w:szCs w:val="28"/>
              </w:rPr>
              <w:t>филиала союза «Торгово-промышленная палата Краснодарского края»                         в Лабинском районе</w:t>
            </w:r>
            <w:r>
              <w:rPr>
                <w:sz w:val="28"/>
                <w:szCs w:val="28"/>
              </w:rPr>
              <w:t xml:space="preserve"> Морговского Ю.В., общественного представителя                        в МО        Курганинский      район       Уполномоченного     по       защите     прав предпринимателей в Краснодарском крае   Буракова В.В.,  ИП, Председателя Совета депутатов Курганинского городского поселения Курганинского района Плетнева Л.Е., ИП Кудрявцевой Е.А., ИП Разина В.Ю., ИП Липового А.В., с которыми заключены соглашения о взаимодействии                при проведении ОРВ.</w:t>
            </w:r>
          </w:p>
          <w:p>
            <w:pPr>
              <w:pStyle w:val="Normal"/>
              <w:tabs>
                <w:tab w:val="clear" w:pos="709"/>
                <w:tab w:val="left" w:pos="867" w:leader="none"/>
                <w:tab w:val="left" w:pos="5387" w:leader="none"/>
              </w:tabs>
              <w:spacing w:lineRule="auto" w:line="240"/>
              <w:jc w:val="both"/>
              <w:rPr/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10.  По результатам оценки регулирующего воздействия сделаны выводы:            в проекте МПА отсутствуют положения, вводящие избыточные    административные      обязанности,     запреты  и     ограничения                              для      </w:t>
            </w:r>
            <w:r>
              <w:rPr>
                <w:rFonts w:cs="Times New Roman"/>
                <w:i w:val="false"/>
                <w:iCs w:val="false"/>
                <w:sz w:val="28"/>
                <w:szCs w:val="28"/>
              </w:rPr>
              <w:t xml:space="preserve">субъектов         </w:t>
            </w:r>
            <w:r>
              <w:rPr>
                <w:rFonts w:cs="Times New Roman"/>
                <w:b w:val="false"/>
                <w:i w:val="false"/>
                <w:iCs w:val="false"/>
                <w:sz w:val="28"/>
                <w:szCs w:val="28"/>
              </w:rPr>
              <w:t xml:space="preserve">предпринимательской         и          иной     экономической   </w:t>
            </w:r>
          </w:p>
          <w:p>
            <w:pPr>
              <w:pStyle w:val="Normal"/>
              <w:tabs>
                <w:tab w:val="clear" w:pos="709"/>
                <w:tab w:val="left" w:pos="867" w:leader="none"/>
                <w:tab w:val="left" w:pos="5387" w:leader="none"/>
              </w:tabs>
              <w:spacing w:lineRule="auto" w:line="240"/>
              <w:jc w:val="center"/>
              <w:rPr/>
            </w:pPr>
            <w:r>
              <w:rPr>
                <w:rFonts w:cs="Times New Roman"/>
                <w:b w:val="false"/>
                <w:i w:val="false"/>
                <w:iCs w:val="false"/>
                <w:sz w:val="28"/>
                <w:szCs w:val="28"/>
              </w:rPr>
              <w:t>6</w:t>
            </w:r>
          </w:p>
          <w:p>
            <w:pPr>
              <w:pStyle w:val="Normal"/>
              <w:tabs>
                <w:tab w:val="clear" w:pos="709"/>
                <w:tab w:val="left" w:pos="867" w:leader="none"/>
                <w:tab w:val="left" w:pos="5387" w:leader="none"/>
              </w:tabs>
              <w:spacing w:lineRule="auto" w:line="240"/>
              <w:jc w:val="both"/>
              <w:rPr/>
            </w:pPr>
            <w:r>
              <w:rPr>
                <w:rFonts w:cs="Times New Roman"/>
                <w:b w:val="false"/>
                <w:i w:val="false"/>
                <w:iCs w:val="false"/>
                <w:sz w:val="28"/>
                <w:szCs w:val="28"/>
              </w:rPr>
              <w:t>деятельности,    обязанности    для     субъектов   инвестиционной деятельности</w:t>
            </w:r>
            <w:r>
              <w:rPr>
                <w:rFonts w:cs="Times New Roman"/>
                <w:b w:val="false"/>
                <w:i/>
                <w:sz w:val="28"/>
                <w:szCs w:val="28"/>
              </w:rPr>
              <w:t xml:space="preserve">                 </w:t>
            </w:r>
          </w:p>
          <w:p>
            <w:pPr>
              <w:pStyle w:val="Normal"/>
              <w:tabs>
                <w:tab w:val="clear" w:pos="709"/>
                <w:tab w:val="left" w:pos="867" w:leader="none"/>
                <w:tab w:val="left" w:pos="5387" w:leader="none"/>
              </w:tabs>
              <w:spacing w:lineRule="auto" w:line="240"/>
              <w:jc w:val="both"/>
              <w:rPr/>
            </w:pPr>
            <w:r>
              <w:rPr>
                <w:sz w:val="28"/>
                <w:szCs w:val="28"/>
              </w:rPr>
              <w:t xml:space="preserve">или  способствующих их      введению,     оказывающих    негативное    влияние на  отрасли экономики МО Курганинский      район,     способствующих возникновению   необоснованных       расходов  физических или   юридических лиц в сфере </w:t>
            </w:r>
            <w:r>
              <w:rPr>
                <w:rStyle w:val="Style16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pacing w:val="2"/>
                <w:kern w:val="0"/>
                <w:sz w:val="28"/>
                <w:szCs w:val="28"/>
                <w:u w:val="none"/>
                <w:shd w:fill="auto" w:val="clear"/>
                <w:lang w:val="ru-RU" w:eastAsia="ru-RU" w:bidi="ar-SA"/>
              </w:rPr>
              <w:t>предпринимательской и иной экономической                                   и инвестиционной деятельности,  а  также необоснованных расходов бюджета МО  Курганинский район.</w:t>
            </w:r>
          </w:p>
          <w:p>
            <w:pPr>
              <w:pStyle w:val="Normal"/>
              <w:tabs>
                <w:tab w:val="clear" w:pos="709"/>
                <w:tab w:val="left" w:pos="867" w:leader="none"/>
                <w:tab w:val="left" w:pos="5387" w:leader="none"/>
              </w:tabs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9"/>
                <w:tab w:val="left" w:pos="867" w:leader="none"/>
                <w:tab w:val="left" w:pos="5387" w:leader="none"/>
              </w:tabs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tbl>
            <w:tblPr>
              <w:tblW w:w="9923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923"/>
            </w:tblGrid>
            <w:tr>
              <w:trPr>
                <w:trHeight w:val="1869" w:hRule="atLeast"/>
              </w:trPr>
              <w:tc>
                <w:tcPr>
                  <w:tcW w:w="9923" w:type="dxa"/>
                  <w:tcBorders/>
                </w:tcPr>
                <w:p>
                  <w:pPr>
                    <w:pStyle w:val="Normal"/>
                    <w:tabs>
                      <w:tab w:val="clear" w:pos="709"/>
                      <w:tab w:val="left" w:pos="60" w:leader="none"/>
                      <w:tab w:val="left" w:pos="867" w:leader="none"/>
                      <w:tab w:val="left" w:pos="5387" w:leader="none"/>
                    </w:tabs>
                    <w:spacing w:lineRule="auto" w:line="24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</w:t>
                  </w:r>
                  <w:r>
                    <w:rPr>
                      <w:sz w:val="28"/>
                      <w:szCs w:val="28"/>
                    </w:rPr>
                    <w:t>ачальник отдела инвестиций</w:t>
                  </w:r>
                </w:p>
                <w:p>
                  <w:pPr>
                    <w:pStyle w:val="Normal"/>
                    <w:tabs>
                      <w:tab w:val="clear" w:pos="709"/>
                      <w:tab w:val="left" w:pos="60" w:leader="none"/>
                      <w:tab w:val="left" w:pos="867" w:leader="none"/>
                      <w:tab w:val="left" w:pos="5387" w:leader="none"/>
                    </w:tabs>
                    <w:spacing w:lineRule="auto" w:line="24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 стратегического развития</w:t>
                  </w:r>
                </w:p>
                <w:p>
                  <w:pPr>
                    <w:pStyle w:val="Normal"/>
                    <w:tabs>
                      <w:tab w:val="clear" w:pos="709"/>
                      <w:tab w:val="left" w:pos="60" w:leader="none"/>
                      <w:tab w:val="left" w:pos="867" w:leader="none"/>
                      <w:tab w:val="left" w:pos="5387" w:leader="none"/>
                    </w:tabs>
                    <w:spacing w:lineRule="auto" w:line="24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администрации муниципального</w:t>
                  </w:r>
                </w:p>
                <w:p>
                  <w:pPr>
                    <w:pStyle w:val="Normal"/>
                    <w:tabs>
                      <w:tab w:val="clear" w:pos="709"/>
                      <w:tab w:val="left" w:pos="60" w:leader="none"/>
                      <w:tab w:val="left" w:pos="867" w:leader="none"/>
                      <w:tab w:val="left" w:pos="5387" w:leader="none"/>
                    </w:tabs>
                    <w:spacing w:lineRule="auto" w:line="24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образования Курганинский район</w:t>
                  </w:r>
                </w:p>
                <w:p>
                  <w:pPr>
                    <w:pStyle w:val="Normal"/>
                    <w:tabs>
                      <w:tab w:val="clear" w:pos="709"/>
                      <w:tab w:val="left" w:pos="60" w:leader="none"/>
                      <w:tab w:val="left" w:pos="867" w:leader="none"/>
                      <w:tab w:val="left" w:pos="5387" w:leader="none"/>
                    </w:tabs>
                    <w:spacing w:lineRule="auto" w:line="240"/>
                    <w:jc w:val="both"/>
                    <w:rPr/>
                  </w:pPr>
                  <w:r>
                    <w:rPr>
                      <w:sz w:val="28"/>
                      <w:szCs w:val="28"/>
                    </w:rPr>
                    <w:t>Е.В. Разумеева</w:t>
                  </w:r>
                  <w:r>
                    <w:rPr>
                      <w:sz w:val="28"/>
                      <w:szCs w:val="28"/>
                    </w:rPr>
                    <w:t xml:space="preserve">                              2</w:t>
                  </w:r>
                  <w:r>
                    <w:rPr>
                      <w:sz w:val="28"/>
                      <w:szCs w:val="28"/>
                    </w:rPr>
                    <w:t>4 августа</w:t>
                  </w:r>
                  <w:r>
                    <w:rPr>
                      <w:sz w:val="28"/>
                      <w:szCs w:val="28"/>
                    </w:rPr>
                    <w:t xml:space="preserve"> 2026 г.                        ______________</w:t>
                  </w:r>
                </w:p>
              </w:tc>
            </w:tr>
            <w:tr>
              <w:trPr/>
              <w:tc>
                <w:tcPr>
                  <w:tcW w:w="9923" w:type="dxa"/>
                  <w:tcBorders/>
                </w:tcPr>
                <w:p>
                  <w:pPr>
                    <w:pStyle w:val="Style22"/>
                    <w:spacing w:lineRule="auto" w:line="24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cs="Times New Roman" w:ascii="Times New Roman" w:hAnsi="Times New Roman"/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rmal"/>
              <w:tabs>
                <w:tab w:val="clear" w:pos="709"/>
                <w:tab w:val="left" w:pos="867" w:leader="none"/>
                <w:tab w:val="left" w:pos="5387" w:leader="none"/>
              </w:tabs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9808" w:type="dxa"/>
            <w:tcBorders/>
          </w:tcPr>
          <w:p>
            <w:pPr>
              <w:pStyle w:val="Normal"/>
              <w:tabs>
                <w:tab w:val="clear" w:pos="709"/>
                <w:tab w:val="left" w:pos="867" w:leader="none"/>
                <w:tab w:val="left" w:pos="5387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9808" w:type="dxa"/>
            <w:tcBorders/>
          </w:tcPr>
          <w:p>
            <w:pPr>
              <w:pStyle w:val="Style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20" w:hRule="atLeast"/>
        </w:trPr>
        <w:tc>
          <w:tcPr>
            <w:tcW w:w="9808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9808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283" w:top="1190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Times New Roman CYR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uppressAutoHyphens w:val="true"/>
      <w:ind w:hanging="0" w:left="-680" w:right="0"/>
      <w:jc w:val="both"/>
      <w:rPr>
        <w:i w:val="false"/>
        <w:i w:val="false"/>
        <w:iCs w:val="false"/>
        <w:color w:val="000000"/>
        <w:sz w:val="28"/>
        <w:szCs w:val="28"/>
        <w:shd w:fill="F10D0C" w:val="clear"/>
      </w:rPr>
    </w:pPr>
    <w:r>
      <w:rPr>
        <w:i w:val="false"/>
        <w:iCs w:val="false"/>
        <w:color w:val="000000"/>
        <w:sz w:val="28"/>
        <w:szCs w:val="28"/>
        <w:shd w:fill="F10D0C" w:val="clear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uppressAutoHyphens w:val="true"/>
      <w:ind w:hanging="0" w:left="-680" w:right="0"/>
      <w:jc w:val="both"/>
      <w:rPr>
        <w:i w:val="false"/>
        <w:i w:val="false"/>
        <w:iCs w:val="false"/>
        <w:color w:val="000000"/>
        <w:sz w:val="28"/>
        <w:szCs w:val="28"/>
        <w:shd w:fill="F10D0C" w:val="clear"/>
      </w:rPr>
    </w:pPr>
    <w:r>
      <w:rPr>
        <w:i w:val="false"/>
        <w:iCs w:val="false"/>
        <w:color w:val="000000"/>
        <w:sz w:val="28"/>
        <w:szCs w:val="28"/>
        <w:shd w:fill="F10D0C" w:val="clear"/>
      </w:rPr>
    </w:r>
  </w:p>
</w:hdr>
</file>

<file path=word/settings.xml><?xml version="1.0" encoding="utf-8"?>
<w:settings xmlns:w="http://schemas.openxmlformats.org/wordprocessingml/2006/main">
  <w:zoom w:percent="65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ejaVu Sans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qFormat/>
    <w:pPr>
      <w:keepNext w:val="true"/>
      <w:shd w:val="clear" w:fill="FFFFFF"/>
      <w:jc w:val="both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qFormat/>
    <w:pPr>
      <w:keepNext w:val="true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qFormat/>
    <w:pPr>
      <w:keepNext w:val="true"/>
      <w:ind w:hanging="0" w:left="0" w:right="-15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qFormat/>
    <w:pPr>
      <w:keepNext w:val="true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qFormat/>
    <w:pPr>
      <w:keepNext w:val="true"/>
      <w:spacing w:lineRule="auto" w:line="360"/>
      <w:ind w:hanging="0" w:left="0" w:right="43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qFormat/>
    <w:pPr>
      <w:keepNext w:val="true"/>
      <w:jc w:val="center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qFormat/>
    <w:pPr>
      <w:keepNext w:val="true"/>
      <w:jc w:val="center"/>
      <w:outlineLvl w:val="6"/>
    </w:pPr>
    <w:rPr>
      <w:rFonts w:ascii="Calibri" w:hAnsi="Calibri"/>
    </w:rPr>
  </w:style>
  <w:style w:type="paragraph" w:styleId="Heading8">
    <w:name w:val="heading 8"/>
    <w:basedOn w:val="Normal"/>
    <w:qFormat/>
    <w:pPr>
      <w:keepNext w:val="true"/>
      <w:ind w:firstLine="708" w:left="0" w:right="-15"/>
      <w:jc w:val="center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qFormat/>
    <w:pPr>
      <w:keepNext w:val="true"/>
      <w:jc w:val="center"/>
      <w:outlineLvl w:val="8"/>
    </w:pPr>
    <w:rPr>
      <w:rFonts w:ascii="Cambria" w:hAnsi="Cambria"/>
      <w:sz w:val="22"/>
      <w:szCs w:val="22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2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3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4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5">
    <w:name w:val="Заголовок 5 Знак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6">
    <w:name w:val="Заголовок 6 Знак"/>
    <w:qFormat/>
    <w:rPr>
      <w:rFonts w:ascii="Calibri" w:hAnsi="Calibri" w:eastAsia="Times New Roman" w:cs="Times New Roman"/>
      <w:b/>
      <w:bCs/>
      <w:sz w:val="22"/>
      <w:szCs w:val="22"/>
    </w:rPr>
  </w:style>
  <w:style w:type="character" w:styleId="7">
    <w:name w:val="Заголовок 7 Знак"/>
    <w:qFormat/>
    <w:rPr>
      <w:rFonts w:ascii="Calibri" w:hAnsi="Calibri" w:eastAsia="Times New Roman" w:cs="Times New Roman"/>
      <w:sz w:val="24"/>
      <w:szCs w:val="24"/>
    </w:rPr>
  </w:style>
  <w:style w:type="character" w:styleId="8">
    <w:name w:val="Заголовок 8 Знак"/>
    <w:qFormat/>
    <w:rPr>
      <w:rFonts w:ascii="Calibri" w:hAnsi="Calibri" w:eastAsia="Times New Roman" w:cs="Times New Roman"/>
      <w:i/>
      <w:iCs/>
      <w:sz w:val="24"/>
      <w:szCs w:val="24"/>
    </w:rPr>
  </w:style>
  <w:style w:type="character" w:styleId="9">
    <w:name w:val="Заголовок 9 Знак"/>
    <w:qFormat/>
    <w:rPr>
      <w:rFonts w:ascii="Cambria" w:hAnsi="Cambria" w:eastAsia="Times New Roman" w:cs="Times New Roman"/>
      <w:sz w:val="22"/>
      <w:szCs w:val="22"/>
    </w:rPr>
  </w:style>
  <w:style w:type="character" w:styleId="Style5">
    <w:name w:val="Верхний колонтитул Знак"/>
    <w:qFormat/>
    <w:rPr>
      <w:sz w:val="24"/>
      <w:szCs w:val="24"/>
    </w:rPr>
  </w:style>
  <w:style w:type="character" w:styleId="Style6">
    <w:name w:val="Нижний колонтитул Знак"/>
    <w:qFormat/>
    <w:rPr>
      <w:sz w:val="24"/>
      <w:szCs w:val="24"/>
    </w:rPr>
  </w:style>
  <w:style w:type="character" w:styleId="Style7">
    <w:name w:val="Текст Знак"/>
    <w:qFormat/>
    <w:rPr>
      <w:rFonts w:ascii="Courier New" w:hAnsi="Courier New" w:cs="Courier New"/>
    </w:rPr>
  </w:style>
  <w:style w:type="character" w:styleId="21">
    <w:name w:val="Основной текст 2 Знак"/>
    <w:qFormat/>
    <w:rPr>
      <w:sz w:val="24"/>
      <w:szCs w:val="24"/>
    </w:rPr>
  </w:style>
  <w:style w:type="character" w:styleId="31">
    <w:name w:val="Основной текст 3 Знак"/>
    <w:qFormat/>
    <w:rPr>
      <w:sz w:val="16"/>
      <w:szCs w:val="16"/>
    </w:rPr>
  </w:style>
  <w:style w:type="character" w:styleId="Style8">
    <w:name w:val="Основной текст Знак"/>
    <w:qFormat/>
    <w:rPr>
      <w:sz w:val="24"/>
      <w:szCs w:val="24"/>
    </w:rPr>
  </w:style>
  <w:style w:type="character" w:styleId="Style9">
    <w:name w:val="Основной текст с отступом Знак"/>
    <w:qFormat/>
    <w:rPr>
      <w:sz w:val="24"/>
      <w:szCs w:val="24"/>
    </w:rPr>
  </w:style>
  <w:style w:type="character" w:styleId="22">
    <w:name w:val="Основной текст с отступом 2 Знак"/>
    <w:qFormat/>
    <w:rPr>
      <w:sz w:val="24"/>
      <w:szCs w:val="24"/>
    </w:rPr>
  </w:style>
  <w:style w:type="character" w:styleId="Style10">
    <w:name w:val="Заголовок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32">
    <w:name w:val="Основной текст с отступом 3 Знак"/>
    <w:qFormat/>
    <w:rPr>
      <w:sz w:val="16"/>
      <w:szCs w:val="16"/>
    </w:rPr>
  </w:style>
  <w:style w:type="character" w:styleId="Style11">
    <w:name w:val="Гипертекстовая ссылка"/>
    <w:qFormat/>
    <w:rPr>
      <w:rFonts w:cs="Times New Roman"/>
      <w:color w:val="008000"/>
      <w:sz w:val="20"/>
      <w:szCs w:val="20"/>
      <w:u w:val="single"/>
    </w:rPr>
  </w:style>
  <w:style w:type="character" w:styleId="Style12">
    <w:name w:val="Цветовое выделение"/>
    <w:qFormat/>
    <w:rPr>
      <w:b/>
      <w:color w:val="26282F"/>
    </w:rPr>
  </w:style>
  <w:style w:type="character" w:styleId="FontStyle54">
    <w:name w:val="Font Style54"/>
    <w:qFormat/>
    <w:rPr>
      <w:rFonts w:ascii="Times New Roman" w:hAnsi="Times New Roman"/>
      <w:b/>
      <w:sz w:val="16"/>
    </w:rPr>
  </w:style>
  <w:style w:type="character" w:styleId="apple-style-span">
    <w:name w:val="apple-style-span"/>
    <w:qFormat/>
    <w:rPr/>
  </w:style>
  <w:style w:type="character" w:styleId="FontStyle50">
    <w:name w:val="Font Style50"/>
    <w:qFormat/>
    <w:rPr>
      <w:rFonts w:ascii="Times New Roman" w:hAnsi="Times New Roman"/>
      <w:sz w:val="16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yle13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23">
    <w:name w:val="Основной текст (2)_"/>
    <w:basedOn w:val="DefaultParagraphFont"/>
    <w:qFormat/>
    <w:rPr>
      <w:sz w:val="28"/>
      <w:szCs w:val="28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0pt">
    <w:name w:val="Основной текст + Интервал 0 pt"/>
    <w:qFormat/>
    <w:rPr>
      <w:rFonts w:ascii="Times New Roman" w:hAnsi="Times New Roman" w:eastAsia="Times New Roman" w:cs="Times New Roman"/>
      <w:color w:val="000000"/>
      <w:spacing w:val="0"/>
      <w:w w:val="100"/>
      <w:sz w:val="26"/>
      <w:szCs w:val="26"/>
      <w:lang w:val="ru-RU" w:eastAsia="ru-RU" w:bidi="ru-RU"/>
    </w:rPr>
  </w:style>
  <w:style w:type="character" w:styleId="Style14">
    <w:name w:val="Выделение жирным"/>
    <w:qFormat/>
    <w:rPr>
      <w:b/>
      <w:bCs/>
    </w:rPr>
  </w:style>
  <w:style w:type="character" w:styleId="11">
    <w:name w:val="Основной шрифт абзаца1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/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1z1">
    <w:name w:val="WW8Num11z1"/>
    <w:qFormat/>
    <w:rPr/>
  </w:style>
  <w:style w:type="character" w:styleId="WW8Num11z0">
    <w:name w:val="WW8Num11z0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>
      <w:rFonts w:ascii="Times New Roman" w:hAnsi="Times New Roman" w:eastAsia="Times New Roman" w:cs="Times New Roman"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>
      <w:rFonts w:ascii="Times New Roman" w:hAnsi="Times New Roman" w:eastAsia="Times New Roman" w:cs="Times New Roman"/>
      <w:sz w:val="28"/>
      <w:szCs w:val="28"/>
    </w:rPr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Style15">
    <w:name w:val="Основной шрифт абзаца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0">
    <w:name w:val="WW8Num1z0"/>
    <w:qFormat/>
    <w:rPr>
      <w:rFonts w:ascii="Times New Roman" w:hAnsi="Times New Roman" w:eastAsia="Times New Roman" w:cs="Times New Roman"/>
      <w:sz w:val="28"/>
      <w:szCs w:val="28"/>
    </w:rPr>
  </w:style>
  <w:style w:type="character" w:styleId="Style16">
    <w:name w:val="Цветовое выделение для Текст"/>
    <w:qFormat/>
    <w:rPr>
      <w:sz w:val="24"/>
    </w:rPr>
  </w:style>
  <w:style w:type="character" w:styleId="111">
    <w:name w:val="Заголовок 1 Знак1"/>
    <w:qFormat/>
    <w:rPr>
      <w:rFonts w:ascii="Times New Roman" w:hAnsi="Times New Roman"/>
      <w:color w:val="000000"/>
      <w:spacing w:val="3"/>
      <w:w w:val="100"/>
      <w:sz w:val="21"/>
      <w:shd w:fill="FFFFFF" w:val="clear"/>
      <w:lang w:val="ru-RU" w:eastAsia="ru-RU"/>
    </w:rPr>
  </w:style>
  <w:style w:type="character" w:styleId="Style17">
    <w:name w:val="Символ нумерации"/>
    <w:qFormat/>
    <w:rPr/>
  </w:style>
  <w:style w:type="character" w:styleId="FontStyle21">
    <w:name w:val="Font Style21"/>
    <w:qFormat/>
    <w:rPr>
      <w:rFonts w:ascii="Times New Roman" w:hAnsi="Times New Roman" w:cs="Times New Roman"/>
      <w:sz w:val="22"/>
      <w:szCs w:val="22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DejaVu Sans"/>
      <w:sz w:val="28"/>
      <w:szCs w:val="28"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DejaVu Sans"/>
    </w:rPr>
  </w:style>
  <w:style w:type="paragraph" w:styleId="Caption">
    <w:name w:val="caption"/>
    <w:basedOn w:val="Normal"/>
    <w:qFormat/>
    <w:pPr>
      <w:jc w:val="center"/>
    </w:pPr>
    <w:rPr>
      <w:sz w:val="28"/>
    </w:rPr>
  </w:style>
  <w:style w:type="paragraph" w:styleId="Style19">
    <w:name w:val="Указатель"/>
    <w:basedOn w:val="Normal"/>
    <w:qFormat/>
    <w:pPr>
      <w:suppressLineNumbers/>
    </w:pPr>
    <w:rPr>
      <w:rFonts w:cs="DejaVu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Style21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PlainText">
    <w:name w:val="Plain Text"/>
    <w:basedOn w:val="Normal"/>
    <w:qFormat/>
    <w:pPr/>
    <w:rPr>
      <w:rFonts w:ascii="Courier New" w:hAnsi="Courier New"/>
      <w:sz w:val="20"/>
      <w:szCs w:val="20"/>
    </w:rPr>
  </w:style>
  <w:style w:type="paragraph" w:styleId="BodyText2">
    <w:name w:val="Body Text 2"/>
    <w:basedOn w:val="Normal"/>
    <w:qFormat/>
    <w:pPr>
      <w:spacing w:lineRule="auto" w:line="360"/>
      <w:ind w:hanging="0" w:left="0" w:right="43"/>
      <w:jc w:val="both"/>
    </w:pPr>
    <w:rPr/>
  </w:style>
  <w:style w:type="paragraph" w:styleId="BodyText3">
    <w:name w:val="Body Text 3"/>
    <w:basedOn w:val="Normal"/>
    <w:qFormat/>
    <w:pPr>
      <w:jc w:val="both"/>
    </w:pPr>
    <w:rPr>
      <w:sz w:val="16"/>
      <w:szCs w:val="16"/>
    </w:rPr>
  </w:style>
  <w:style w:type="paragraph" w:styleId="BodyTextIndent">
    <w:name w:val="Body Text Indent"/>
    <w:basedOn w:val="Normal"/>
    <w:pPr>
      <w:ind w:hanging="0" w:left="720" w:right="0"/>
      <w:jc w:val="both"/>
    </w:pPr>
    <w:rPr/>
  </w:style>
  <w:style w:type="paragraph" w:styleId="BodyTextIndent2">
    <w:name w:val="Body Text Indent 2"/>
    <w:basedOn w:val="Normal"/>
    <w:qFormat/>
    <w:pPr>
      <w:ind w:firstLine="708" w:left="0" w:right="0"/>
      <w:jc w:val="both"/>
    </w:pPr>
    <w:rPr/>
  </w:style>
  <w:style w:type="paragraph" w:styleId="Title">
    <w:name w:val="Title"/>
    <w:basedOn w:val="Normal"/>
    <w:qFormat/>
    <w:pPr>
      <w:jc w:val="center"/>
    </w:pPr>
    <w:rPr>
      <w:rFonts w:ascii="Cambria" w:hAnsi="Cambria"/>
      <w:b/>
      <w:bCs/>
      <w:kern w:val="2"/>
      <w:sz w:val="32"/>
      <w:szCs w:val="32"/>
    </w:rPr>
  </w:style>
  <w:style w:type="paragraph" w:styleId="BodyTextIndent3">
    <w:name w:val="Body Text Indent 3"/>
    <w:basedOn w:val="Normal"/>
    <w:qFormat/>
    <w:pPr>
      <w:ind w:firstLine="705" w:left="0" w:right="0"/>
      <w:jc w:val="both"/>
    </w:pPr>
    <w:rPr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4"/>
      <w:szCs w:val="20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ConsTitle">
    <w:name w:val="ConsTitle"/>
    <w:qFormat/>
    <w:pPr>
      <w:widowControl/>
      <w:suppressAutoHyphens w:val="true"/>
      <w:overflowPunct w:val="false"/>
      <w:bidi w:val="0"/>
      <w:spacing w:before="0" w:after="0"/>
      <w:ind w:hanging="0" w:left="0"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ConsNormal">
    <w:name w:val="ConsNormal"/>
    <w:qFormat/>
    <w:pPr>
      <w:widowControl/>
      <w:suppressAutoHyphens w:val="true"/>
      <w:overflowPunct w:val="false"/>
      <w:bidi w:val="0"/>
      <w:spacing w:before="0" w:after="0"/>
      <w:ind w:firstLine="720" w:left="0" w:right="19772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Style22">
    <w:name w:val="Нормальный (таблица)"/>
    <w:basedOn w:val="Normal"/>
    <w:qFormat/>
    <w:pPr>
      <w:widowControl w:val="false"/>
      <w:jc w:val="both"/>
    </w:pPr>
    <w:rPr>
      <w:rFonts w:ascii="Arial" w:hAnsi="Arial" w:cs="Arial"/>
    </w:rPr>
  </w:style>
  <w:style w:type="paragraph" w:styleId="Style23">
    <w:name w:val="Прижатый влево"/>
    <w:basedOn w:val="Normal"/>
    <w:qFormat/>
    <w:pPr>
      <w:widowControl w:val="false"/>
    </w:pPr>
    <w:rPr>
      <w:rFonts w:ascii="Arial" w:hAnsi="Arial" w:cs="Arial"/>
    </w:rPr>
  </w:style>
  <w:style w:type="paragraph" w:styleId="ConsPlusNonformat">
    <w:name w:val="ConsPlusNonforma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ru-RU" w:bidi="ar-SA"/>
    </w:rPr>
  </w:style>
  <w:style w:type="paragraph" w:styleId="NormalWeb">
    <w:name w:val="Normal (Web)"/>
    <w:basedOn w:val="Normal"/>
    <w:qFormat/>
    <w:pPr>
      <w:spacing w:before="100" w:after="100"/>
    </w:pPr>
    <w:rPr/>
  </w:style>
  <w:style w:type="paragraph" w:styleId="Style51">
    <w:name w:val="Style5"/>
    <w:basedOn w:val="Normal"/>
    <w:qFormat/>
    <w:pPr>
      <w:widowControl w:val="false"/>
      <w:spacing w:lineRule="exact" w:line="214"/>
      <w:jc w:val="both"/>
    </w:pPr>
    <w:rPr/>
  </w:style>
  <w:style w:type="paragraph" w:styleId="Style91">
    <w:name w:val="Style9"/>
    <w:basedOn w:val="Normal"/>
    <w:qFormat/>
    <w:pPr>
      <w:widowControl w:val="false"/>
      <w:spacing w:lineRule="exact" w:line="197"/>
      <w:jc w:val="both"/>
    </w:pPr>
    <w:rPr/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24">
    <w:name w:val="Основной текст (2)"/>
    <w:basedOn w:val="Normal"/>
    <w:qFormat/>
    <w:pPr>
      <w:widowControl w:val="false"/>
      <w:shd w:val="clear" w:fill="FFFFFF"/>
      <w:spacing w:lineRule="auto" w:line="240" w:before="0" w:after="480"/>
      <w:jc w:val="both"/>
    </w:pPr>
    <w:rPr>
      <w:sz w:val="28"/>
      <w:szCs w:val="28"/>
    </w:rPr>
  </w:style>
  <w:style w:type="paragraph" w:styleId="Style24">
    <w:name w:val="Заголовок списка"/>
    <w:basedOn w:val="Normal"/>
    <w:qFormat/>
    <w:pPr>
      <w:ind w:hanging="0" w:left="0" w:right="0"/>
    </w:pPr>
    <w:rPr/>
  </w:style>
  <w:style w:type="paragraph" w:styleId="Style25">
    <w:name w:val="Содержимое списка"/>
    <w:basedOn w:val="Normal"/>
    <w:qFormat/>
    <w:pPr>
      <w:ind w:hanging="0" w:left="567" w:right="0"/>
    </w:pPr>
    <w:rPr/>
  </w:style>
  <w:style w:type="paragraph" w:styleId="Style26">
    <w:name w:val="Обычный (Интернет)"/>
    <w:basedOn w:val="Normal"/>
    <w:qFormat/>
    <w:pPr>
      <w:spacing w:before="280" w:after="280"/>
    </w:pPr>
    <w:rPr/>
  </w:style>
  <w:style w:type="paragraph" w:styleId="Style27">
    <w:name w:val="Содержимое таблицы"/>
    <w:basedOn w:val="Normal"/>
    <w:qFormat/>
    <w:pPr>
      <w:suppressLineNumbers/>
    </w:pPr>
    <w:rPr/>
  </w:style>
  <w:style w:type="paragraph" w:styleId="Style28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Style29">
    <w:name w:val="Абзац списка"/>
    <w:basedOn w:val="Normal"/>
    <w:qFormat/>
    <w:pPr>
      <w:ind w:hanging="0" w:left="708" w:right="0"/>
    </w:pPr>
    <w:rPr/>
  </w:style>
  <w:style w:type="paragraph" w:styleId="12">
    <w:name w:val="Указатель1"/>
    <w:basedOn w:val="Normal"/>
    <w:qFormat/>
    <w:pPr>
      <w:suppressLineNumbers/>
    </w:pPr>
    <w:rPr>
      <w:rFonts w:cs="DejaVu Sans;Times New Roman"/>
    </w:rPr>
  </w:style>
  <w:style w:type="paragraph" w:styleId="Style30">
    <w:name w:val="Название объекта"/>
    <w:basedOn w:val="Normal"/>
    <w:qFormat/>
    <w:pPr>
      <w:suppressLineNumbers/>
      <w:spacing w:before="120" w:after="120"/>
    </w:pPr>
    <w:rPr>
      <w:rFonts w:cs="DejaVu Sans;Times New Roman"/>
      <w:i/>
      <w:iCs/>
      <w:sz w:val="24"/>
      <w:szCs w:val="24"/>
    </w:rPr>
  </w:style>
  <w:style w:type="paragraph" w:styleId="Style31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25">
    <w:name w:val="Основной текст2"/>
    <w:basedOn w:val="Normal"/>
    <w:qFormat/>
    <w:pPr>
      <w:shd w:val="clear" w:fill="FFFFFF"/>
      <w:spacing w:lineRule="exact" w:line="322" w:before="600" w:after="0"/>
      <w:ind w:hanging="360"/>
    </w:pPr>
    <w:rPr>
      <w:rFonts w:ascii="Times New Roman" w:hAnsi="Times New Roman" w:cs="Times New Roman"/>
      <w:spacing w:val="1"/>
      <w:sz w:val="23"/>
      <w:szCs w:val="23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numbering" w:styleId="Style32">
    <w:name w:val="Без списка"/>
    <w:qFormat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investkurg@mail.ru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3048</TotalTime>
  <Application>LibreOffice/24.8.7.2$Linux_X86_64 LibreOffice_project/480$Build-2</Application>
  <AppVersion>15.0000</AppVersion>
  <Pages>6</Pages>
  <Words>1313</Words>
  <Characters>10350</Characters>
  <CharactersWithSpaces>13240</CharactersWithSpaces>
  <Paragraphs>90</Paragraphs>
  <Company>Администрация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2019-08-02T10:50:00Z</dcterms:created>
  <dc:creator>Юля</dc:creator>
  <dc:description/>
  <dc:language>ru-RU</dc:language>
  <cp:lastModifiedBy/>
  <cp:lastPrinted>2026-08-27T16:09:02Z</cp:lastPrinted>
  <dcterms:modified xsi:type="dcterms:W3CDTF">2026-08-27T16:13:56Z</dcterms:modified>
  <cp:revision>133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