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08" w:type="dxa"/>
        <w:jc w:val="left"/>
        <w:tblInd w:w="5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08"/>
      </w:tblGrid>
      <w:tr>
        <w:trPr>
          <w:trHeight w:val="6180" w:hRule="atLeast"/>
        </w:trPr>
        <w:tc>
          <w:tcPr>
            <w:tcW w:w="9808" w:type="dxa"/>
            <w:tcBorders/>
          </w:tcPr>
          <w:tbl>
            <w:tblPr>
              <w:tblW w:w="10606" w:type="dxa"/>
              <w:jc w:val="left"/>
              <w:tblInd w:w="2171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8065" w:type="dxa"/>
                    <w:jc w:val="left"/>
                    <w:tblInd w:w="301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8065"/>
                  </w:tblGrid>
                  <w:tr>
                    <w:trPr>
                      <w:trHeight w:val="4020" w:hRule="atLeast"/>
                    </w:trPr>
                    <w:tc>
                      <w:tcPr>
                        <w:tcW w:w="8065" w:type="dxa"/>
                        <w:tcBorders/>
                      </w:tcPr>
                      <w:p>
                        <w:pPr>
                          <w:pStyle w:val="ConsPlusNonformat"/>
                          <w:ind w:hanging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архитектуры и градостроительства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администрации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муниципального образования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Курганинский  район</w:t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r>
                      </w:p>
                      <w:p>
                        <w:pPr>
                          <w:pStyle w:val="ConsPlusNonformat"/>
                          <w:ind w:hanging="0"/>
                          <w:jc w:val="both"/>
                          <w:rPr>
                            <w:rFonts w:ascii="Times New Roman" w:hAnsi="Times New Roman"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Е.В. Перкину</w:t>
                        </w:r>
                      </w:p>
                    </w:tc>
                  </w:tr>
                </w:tbl>
                <w:p>
                  <w:pPr>
                    <w:pStyle w:val="Style27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808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Normal"/>
                          <w:jc w:val="both"/>
                          <w:rPr/>
                        </w:pP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 xml:space="preserve">Проекта постановления администрации муниципального образования Курганинский район </w:t>
                        </w:r>
                        <w:r>
                          <w:rPr>
                            <w:rStyle w:val="Style16"/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>«Об утверждении административного регламента предоставления муниципальной услуги  «Предоставление разрешения                     на условно разрешенный вид использования земельного участка или  объекта капитального строительства».</w:t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как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МО Курганинский район, рассмотрел поступивший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ию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«Об утверждении административного регламента предоставления муниципальной услуги  «Предоставление разрешения на условно разрешенный вид использования земельного участка или  объекта капитального строительства»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Курганинский район,  устанавливающих    новые          или      изменяющих ранее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предусмотренные      МПА   обязательные    требования для       субъектов предпринимательской и    иной     экономической      деятельности,        обязанности для        субъектов           инвестиционной деятельности,           утверждённым             постановлением       администрации    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МО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                                       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11939" w:hRule="atLeast"/>
        </w:trPr>
        <w:tc>
          <w:tcPr>
            <w:tcW w:w="9808" w:type="dxa"/>
            <w:tcBorders/>
          </w:tcPr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32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Проект на</w:t>
            </w:r>
            <w:r>
              <w:rPr>
                <w:sz w:val="28"/>
                <w:szCs w:val="28"/>
              </w:rPr>
              <w:t xml:space="preserve">правлен разработчиком для проведения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впервые.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>Проведён</w:t>
            </w:r>
            <w:r>
              <w:rPr>
                <w:sz w:val="28"/>
                <w:szCs w:val="28"/>
              </w:rPr>
              <w:t xml:space="preserve"> анализ результатов исследований, проводимых регулирующим органом с учётом установления полноты рассмотрения регулирующим органом всех возможных вариантов правового регулирования выявленной проблемы,               а также эффективности способов решения проблемы в сравнении                                 с действующим на момент проведения процедуры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ОРВ</w:t>
            </w:r>
            <w:r>
              <w:rPr>
                <w:sz w:val="28"/>
                <w:szCs w:val="28"/>
              </w:rPr>
              <w:t xml:space="preserve"> правовым регулированием рассматриваемой сферы общественных отношений.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Разработчиком предложен один вариант правового регулирования - принятие </w:t>
            </w:r>
            <w:r>
              <w:rPr>
                <w:rStyle w:val="Style16"/>
                <w:sz w:val="28"/>
                <w:szCs w:val="28"/>
              </w:rPr>
              <w:t>постановления администрации муниципального образования Курганинский район «Об утверждении административного регламента предоставления муниципальной услуги  «Предоставление разрешения                     на условно разрешенный вид использования земельного участка или  объекта капитального строительства».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качестве альтернативы рассмотрен вариант непринятия МПА.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Проведено сравнение указанных вариантов правового регулирования.        Выбор варианта правового регулирования сделан исходя из оценки возможности достижения заявленной цели регулирования и оценки рисков нас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тупления неблагоприятных последствий.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- определены потенциальные адресаты предполагаемого правового регулирования. </w:t>
            </w:r>
            <w:r>
              <w:rPr>
                <w:sz w:val="28"/>
                <w:szCs w:val="28"/>
              </w:rPr>
              <w:t>Ф</w:t>
            </w:r>
            <w:r>
              <w:rPr>
                <w:rStyle w:val="FontStyle21"/>
                <w:sz w:val="28"/>
                <w:szCs w:val="28"/>
              </w:rPr>
              <w:t>изические или юридические лица или их уполномоченные представители</w:t>
            </w:r>
            <w:r>
              <w:rPr>
                <w:sz w:val="28"/>
                <w:szCs w:val="28"/>
                <w:shd w:fill="auto" w:val="clear"/>
              </w:rPr>
              <w:t xml:space="preserve">. Количественная оценка участников: в    </w:t>
            </w:r>
            <w:r>
              <w:rPr>
                <w:sz w:val="28"/>
                <w:szCs w:val="28"/>
              </w:rPr>
              <w:t>2025  году                             за     предоставлением     муниципальной     услуги    обратилось 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заявителей.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- цель предлагаемого правового регулирования разработчиком определена </w:t>
            </w:r>
            <w:r>
              <w:rPr>
                <w:sz w:val="28"/>
                <w:szCs w:val="28"/>
                <w:shd w:fill="auto" w:val="clear"/>
              </w:rPr>
              <w:t>объ</w:t>
            </w:r>
            <w:r>
              <w:rPr>
                <w:sz w:val="28"/>
                <w:szCs w:val="28"/>
              </w:rPr>
              <w:t>ективно,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- практическая    реализуемость     заявленных     целей     предполагаемого правового регулирования будет достигнута;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-  сроки достижения заявленной цели - с даты утверждения и вступления                 в силу рассматриваемого Проекта МПА</w:t>
            </w:r>
            <w:r>
              <w:rPr>
                <w:rStyle w:val="111"/>
                <w:sz w:val="28"/>
                <w:szCs w:val="28"/>
              </w:rPr>
              <w:t>, в мониторинге достижения цели               не нуждается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- оценка    дополнительных   расходов     и     доходов   потенциальных  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В соответствии с 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в части прав   и   обязанностей    субъектов    предпринимательской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ф</w:t>
            </w:r>
            <w:r>
              <w:rPr>
                <w:rStyle w:val="FontStyle21"/>
                <w:rFonts w:eastAsia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изические или юридические лица или их уполномоченные представители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. </w:t>
            </w:r>
            <w:r>
              <w:rPr>
                <w:rFonts w:eastAsia="DejaVu Sans" w:cs="Times New Roman"/>
                <w:bCs/>
                <w:color w:themeColor="dark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Определить точное количество не представляется возможным  в связи с заявительным характером предлагаемого правового регулирования.  В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2025  году                                              за     предоставлением     муниципальной     услуги    обратилось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4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 заявителей.</w:t>
            </w:r>
          </w:p>
          <w:p>
            <w:pPr>
              <w:pStyle w:val="Normal"/>
              <w:ind w:firstLine="743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2.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eastAsia="DejaVu Sans" w:cs="Times New Roman"/>
                <w:bCs/>
                <w:color w:themeColor="dark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</w:t>
            </w:r>
            <w:r>
              <w:rPr>
                <w:sz w:val="28"/>
                <w:szCs w:val="28"/>
              </w:rPr>
              <w:t>ро</w:t>
            </w:r>
            <w:r>
              <w:rPr>
                <w:sz w:val="28"/>
                <w:szCs w:val="28"/>
                <w:shd w:fill="auto" w:val="clear"/>
              </w:rPr>
              <w:t>блема, н</w:t>
            </w:r>
            <w:r>
              <w:rPr>
                <w:sz w:val="28"/>
                <w:szCs w:val="28"/>
              </w:rPr>
              <w:t>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5100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ConsPlusNonformat"/>
                    <w:ind w:hanging="0"/>
                    <w:jc w:val="both"/>
                    <w:rPr/>
                  </w:pP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нецелесообразность использования действующего административного регламента по предоставлению администрацией 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МО</w:t>
                  </w:r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Курганинский район  </w:t>
                  </w:r>
                  <w:bookmarkStart w:id="0" w:name="_Hlk230867300_Копия_1"/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муниципальной услуги</w:t>
                  </w:r>
                  <w:bookmarkEnd w:id="0"/>
                  <w:r>
                    <w:rPr>
                      <w:rStyle w:val="Style16"/>
                      <w:rFonts w:eastAsia="Sylfaen" w:cs="Times New Roman" w:ascii="Times New Roman" w:hAnsi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Style w:val="Style16"/>
                      <w:rFonts w:eastAsia="Times New Roman" w:cs="Times New Roman" w:ascii="Times New Roman" w:hAnsi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«Предоставление разрешения на условно разрешенный вид использования земельного участка или  объекта капитального строительства», </w:t>
                  </w:r>
                  <w:r>
                    <w:rPr>
                      <w:rStyle w:val="Style16"/>
                      <w:rFonts w:eastAsia="Times New Roman" w:cs="Times New Roman" w:ascii="Times New Roman" w:hAnsi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 связи с его несоответствием действующему законодательству.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  </w:t>
                  </w:r>
                  <w:r>
                    <w:rPr>
                      <w:rStyle w:val="Style16"/>
                      <w:sz w:val="28"/>
                      <w:szCs w:val="28"/>
                    </w:rPr>
                    <w:t xml:space="preserve">3.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</w:t>
                  </w:r>
                  <w:r>
                    <w:rPr>
                      <w:rStyle w:val="Style16"/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роект  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разработан в  целях   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приведения в соответствие действующем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>у</w:t>
                  </w:r>
                  <w:r>
                    <w:rPr>
                      <w:rStyle w:val="Style16"/>
                      <w:rFonts w:eastAsia="Times New Roman" w:cs="Times New Roman"/>
                      <w:color w:val="auto"/>
                      <w:kern w:val="0"/>
                      <w:sz w:val="28"/>
                      <w:szCs w:val="28"/>
                      <w:lang w:val="ru-RU" w:eastAsia="ru-RU" w:bidi="ar-SA"/>
                    </w:rPr>
                    <w:t xml:space="preserve"> законодательству </w:t>
                  </w:r>
                  <w:r>
                    <w:rPr>
                      <w:rStyle w:val="Style16"/>
                      <w:rFonts w:eastAsia="Sylfaen" w:cs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административного регламента по предоставлению администрацией </w:t>
                  </w:r>
                  <w:r>
                    <w:rPr>
                      <w:rStyle w:val="Style16"/>
                      <w:rFonts w:eastAsia="Sylfaen" w:cs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МО</w:t>
                  </w:r>
                  <w:r>
                    <w:rPr>
                      <w:rStyle w:val="Style16"/>
                      <w:rFonts w:eastAsia="Sylfaen" w:cs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Курганинский район  </w:t>
                  </w:r>
                  <w:bookmarkStart w:id="1" w:name="_Hlk230867300_Копия_1_Копия_1"/>
                  <w:r>
                    <w:rPr>
                      <w:rStyle w:val="Style16"/>
                      <w:rFonts w:eastAsia="Sylfaen" w:cs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муниципальной услуги</w:t>
                  </w:r>
                  <w:bookmarkEnd w:id="1"/>
                  <w:r>
                    <w:rPr>
                      <w:rStyle w:val="Style16"/>
                      <w:rFonts w:eastAsia="Sylfaen" w:cs="Times New Roman"/>
                      <w:bCs/>
                      <w:color w:val="000000"/>
                      <w:spacing w:val="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</w:t>
                  </w:r>
                  <w:r>
                    <w:rPr>
                      <w:rStyle w:val="Style16"/>
                      <w:rFonts w:eastAsia="Times New Roman" w:cs="Times New Roman"/>
                      <w:b w:val="false"/>
                      <w:bCs/>
                      <w:i w:val="false"/>
                      <w:iCs/>
                      <w:color w:val="000000"/>
                      <w:spacing w:val="2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«Предоставление разрешения на условно разрешенный вид использования земельного участка или  объекта капитального строительства»</w:t>
                  </w:r>
                  <w:bookmarkStart w:id="2" w:name="__DdeLink__1326_4233123480"/>
                  <w:bookmarkEnd w:id="2"/>
                  <w:r>
                    <w:rPr>
                      <w:rStyle w:val="111"/>
                      <w:rFonts w:eastAsia="Times New Roman" w:cs="Times New Roman"/>
                      <w:b w:val="false"/>
                      <w:bCs/>
                      <w:i w:val="false"/>
                      <w:iCs/>
                      <w:kern w:val="0"/>
                      <w:sz w:val="28"/>
                      <w:szCs w:val="28"/>
                      <w:shd w:fill="auto" w:val="clear"/>
                      <w:lang w:bidi="ar-SA"/>
                    </w:rPr>
                    <w:t>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3" w:name="_Hlk1212346144"/>
            <w:bookmarkEnd w:id="3"/>
            <w:r>
              <w:rPr>
                <w:sz w:val="28"/>
                <w:szCs w:val="28"/>
              </w:rPr>
              <w:t xml:space="preserve">4. </w:t>
            </w:r>
            <w:r>
              <w:rPr>
                <w:rStyle w:val="Style16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Проект МПА содержит положения, устанавливающие новые обязательные требования для субъектов предпринимательской и иной экономич</w:t>
            </w:r>
            <w:r>
              <w:rPr>
                <w:rStyle w:val="Style16"/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еской деятельности, обязанности для субъектов инвестиционной деятельности, п</w:t>
            </w:r>
            <w:r>
              <w:rPr>
                <w:rStyle w:val="Style16"/>
                <w:rFonts w:eastAsia="DejaVu Sans" w:cs="Times New Roman"/>
                <w:bCs/>
                <w:color w:themeColor="dark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роектом МПА </w:t>
            </w:r>
            <w:r>
              <w:rPr>
                <w:rStyle w:val="Style16"/>
                <w:rFonts w:eastAsia="Times New Roman" w:cs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</w:t>
            </w:r>
            <w:r>
              <w:rPr>
                <w:rStyle w:val="Style16"/>
                <w:rFonts w:eastAsia="DejaVu Sans" w:cs="Times New Roman"/>
                <w:bCs/>
                <w:color w:themeColor="dark1"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редусмотрена новая форма административного регламента предоставления муниципальной услуги.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5. Риски  недостижения   це</w:t>
            </w:r>
            <w:r>
              <w:rPr>
                <w:sz w:val="28"/>
                <w:szCs w:val="28"/>
                <w:shd w:fill="FFFFFF" w:val="clear"/>
              </w:rPr>
              <w:t>лей     правового регу</w:t>
            </w:r>
            <w:r>
              <w:rPr>
                <w:sz w:val="28"/>
                <w:szCs w:val="28"/>
              </w:rPr>
              <w:t xml:space="preserve">лирования, а  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также</w:t>
            </w:r>
            <w:r>
              <w:rPr>
                <w:sz w:val="28"/>
                <w:szCs w:val="28"/>
              </w:rPr>
              <w:t xml:space="preserve">        возможные         негативные       последствия от введения правового регулирования для экономического развития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МО</w:t>
            </w:r>
            <w:r>
              <w:rPr>
                <w:sz w:val="28"/>
                <w:szCs w:val="28"/>
              </w:rPr>
              <w:t xml:space="preserve"> Курганинский район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center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>4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</w:t>
            </w:r>
            <w:r>
              <w:rPr>
                <w:rFonts w:eastAsia="DejaVu Sans" w:cs="Times New Roman CYR" w:ascii="Times New Roman CYR" w:hAnsi="Times New Roman CYR"/>
                <w:color w:val="00000A"/>
                <w:sz w:val="28"/>
                <w:szCs w:val="28"/>
              </w:rPr>
              <w:t xml:space="preserve">Дополнительные расходы местного бюджета (бюджета  </w:t>
            </w:r>
            <w:r>
              <w:rPr>
                <w:rFonts w:eastAsia="DejaVu Sans" w:cs="Times New Roman CYR" w:ascii="Times New Roman CYR" w:hAnsi="Times New Roman CYR"/>
                <w:color w:val="00000A"/>
                <w:sz w:val="28"/>
                <w:szCs w:val="28"/>
              </w:rPr>
              <w:t>муниципально</w:t>
            </w:r>
            <w:r>
              <w:rPr>
                <w:rFonts w:eastAsia="DejaVu Sans" w:cs="Times New Roman CYR" w:ascii="Times New Roman CYR" w:hAnsi="Times New Roman CYR"/>
                <w:color w:val="00000A"/>
                <w:sz w:val="28"/>
                <w:szCs w:val="28"/>
              </w:rPr>
              <w:t>го образования Курганинский район), связанные с введением предлагаемого правового регулирования, не предполагаются.</w:t>
            </w:r>
          </w:p>
          <w:p>
            <w:pPr>
              <w:pStyle w:val="Normal"/>
              <w:ind w:firstLine="709"/>
              <w:jc w:val="both"/>
              <w:rPr>
                <w:shd w:fill="auto" w:val="clear"/>
              </w:rPr>
            </w:pPr>
            <w:r>
              <w:rPr>
                <w:rFonts w:cs="Times New Roman"/>
                <w:sz w:val="28"/>
                <w:szCs w:val="28"/>
                <w:shd w:fill="auto" w:val="clear"/>
              </w:rPr>
              <w:t>Дополнительные расходы потенциальных адресатов предлагаемого правового регулирования, связанные с введением предлагаемого регулирования, предполагаются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в виде информационных издержек, связанных с трудозатратами на предоставление заявления о предоставлении муниципальной услуги и документов в расчете на одного заявителя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в</w:t>
            </w:r>
            <w:r>
              <w:rPr>
                <w:rFonts w:cs="Times New Roman"/>
                <w:color w:themeColor="dark1" w:val="000000"/>
                <w:sz w:val="28"/>
                <w:szCs w:val="28"/>
                <w:shd w:fill="auto" w:val="clear"/>
              </w:rPr>
              <w:t xml:space="preserve"> размере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примерно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47238,5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 руб. или </w:t>
            </w:r>
            <w:r>
              <w:rPr>
                <w:rStyle w:val="111"/>
                <w:rFonts w:cs="Times New Roman"/>
                <w:sz w:val="28"/>
                <w:szCs w:val="28"/>
                <w:shd w:fill="auto" w:val="clear"/>
              </w:rPr>
              <w:t>661339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 руб. в расчете на 1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>4</w:t>
            </w:r>
            <w:r>
              <w:rPr>
                <w:rFonts w:cs="Times New Roman"/>
                <w:sz w:val="28"/>
                <w:szCs w:val="28"/>
                <w:shd w:fill="auto" w:val="clear"/>
              </w:rPr>
              <w:t xml:space="preserve"> заявителей.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                      и представление информации (документов, сведений) в соответствии                          с требованиями проекта.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вышеуказанной суммы затрат произведен с использованием калькулятора расчета стандартных издержек (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regulation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gov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  <w:lang w:val="en-US"/>
              </w:rPr>
              <w:t>ru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).</w:t>
            </w:r>
          </w:p>
          <w:p>
            <w:pPr>
              <w:pStyle w:val="ConsPlusNonformat"/>
              <w:ind w:firstLine="720"/>
              <w:jc w:val="both"/>
              <w:rPr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auto" w:val="clear"/>
              </w:rPr>
              <w:t>Расчет издержек на подготовку и представление запроса и документов: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1) название требования: информационные издержки, связанные с предоставлением документов в органы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предоставление информации (документы и их копии);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информационное;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информационный элемент: подача з</w:t>
            </w:r>
            <w:r>
              <w:rPr>
                <w:rFonts w:eastAsia="Calibri" w:cs="Times New Roman"/>
                <w:bCs/>
                <w:color w:val="000000"/>
                <w:sz w:val="28"/>
                <w:szCs w:val="28"/>
                <w:shd w:fill="auto" w:val="clear"/>
                <w:lang w:eastAsia="ru-RU"/>
              </w:rPr>
              <w:t>аявления о предоставлении МУ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«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Предоставление разрешения на условно разрешенный вид использования земельного участка или  объекта капитального строительств</w:t>
            </w:r>
            <w:r>
              <w:rPr>
                <w:rStyle w:val="Style16"/>
                <w:rFonts w:eastAsia="Times New Roman" w:cs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>а</w:t>
            </w:r>
            <w:r>
              <w:rPr>
                <w:rStyle w:val="FontStyle21"/>
                <w:color w:val="000000"/>
                <w:sz w:val="28"/>
                <w:szCs w:val="28"/>
                <w:shd w:fill="auto" w:val="clear"/>
              </w:rPr>
              <w:t>»;</w:t>
            </w:r>
          </w:p>
          <w:p>
            <w:pPr>
              <w:pStyle w:val="Normal"/>
              <w:spacing w:lineRule="auto" w:line="240" w:before="0" w:after="0"/>
              <w:ind w:firstLine="56"/>
              <w:jc w:val="both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ab/>
              <w:t>тип элемента: документы, составленные для передачи органам власти;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масштаб: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число заявлений - 1 ед. </w:t>
            </w:r>
            <w:r>
              <w:rPr>
                <w:rFonts w:eastAsia="Calibri" w:cs="Times New Roman"/>
                <w:color w:val="000000"/>
                <w:sz w:val="28"/>
                <w:szCs w:val="28"/>
                <w:shd w:fill="auto" w:val="clear"/>
              </w:rPr>
              <w:t>или 1</w:t>
            </w:r>
            <w:r>
              <w:rPr>
                <w:rFonts w:eastAsia="Calibri" w:cs="Times New Roman"/>
                <w:color w:val="000000"/>
                <w:sz w:val="28"/>
                <w:szCs w:val="28"/>
                <w:shd w:fill="auto" w:val="clear"/>
              </w:rPr>
              <w:t>4</w:t>
            </w:r>
            <w:r>
              <w:rPr>
                <w:rFonts w:eastAsia="Calibri" w:cs="Times New Roman"/>
                <w:color w:val="000000"/>
                <w:sz w:val="28"/>
                <w:szCs w:val="28"/>
                <w:shd w:fill="auto" w:val="clear"/>
              </w:rPr>
              <w:t xml:space="preserve"> единиц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частота представления: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1 ед.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Действия:</w:t>
            </w:r>
          </w:p>
          <w:p>
            <w:pPr>
              <w:pStyle w:val="Normal"/>
              <w:spacing w:lineRule="auto" w:line="240" w:before="0" w:after="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Написание любого документа низкого уровня сложности (менее 5 стр. печатного текста) - 1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Копирование документов – 1 ,00 чел./часов.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Подача заявления – 1 чел./час.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Тип требования: приобретение расходных материалов;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Раздел требования: содержательное;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>Список приобретений:</w:t>
            </w:r>
          </w:p>
          <w:p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публикация оповещения о начале проведения публичных слушаний                 или общественных обсуждений – 23000 рублей;</w:t>
            </w:r>
          </w:p>
          <w:p>
            <w:pPr>
              <w:pStyle w:val="ConsPlusNonformat"/>
              <w:ind w:firstLine="709"/>
              <w:jc w:val="both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shd w:fill="auto" w:val="clear"/>
              </w:rPr>
              <w:t>публикация заключения о проведении публичных слушаний                                   или общественных обсуждений – 23000 рублей;</w:t>
            </w:r>
          </w:p>
          <w:p>
            <w:pPr>
              <w:pStyle w:val="Normal"/>
              <w:spacing w:lineRule="auto" w:line="240" w:before="0" w:after="0"/>
              <w:ind w:firstLine="720"/>
              <w:rPr>
                <w:shd w:fill="auto" w:val="clear"/>
              </w:rPr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Затраты на расходные материалы и канцелярские товары – 100 руб.</w:t>
            </w:r>
          </w:p>
          <w:p>
            <w:pPr>
              <w:pStyle w:val="Normal"/>
              <w:shd w:val="clear" w:fill="FFFFFF"/>
              <w:spacing w:lineRule="auto" w:line="240" w:before="0" w:after="0"/>
              <w:ind w:firstLine="72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  <w:t xml:space="preserve">Среднемесячная заработная плата работников крупных и средних организаций   МО   Курганинский    район  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за    январь-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март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 xml:space="preserve"> 2026 г.    согласно </w:t>
            </w:r>
          </w:p>
          <w:p>
            <w:pPr>
              <w:pStyle w:val="Normal"/>
              <w:shd w:val="clear" w:fill="FFFFFF"/>
              <w:spacing w:lineRule="auto" w:line="240" w:before="0" w:after="0"/>
              <w:ind w:firstLine="720"/>
              <w:jc w:val="center"/>
              <w:rPr/>
            </w:pP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5</w:t>
            </w:r>
          </w:p>
          <w:p>
            <w:pPr>
              <w:pStyle w:val="Normal"/>
              <w:shd w:val="clear" w:fill="FFFFFF"/>
              <w:spacing w:lineRule="auto" w:line="240" w:before="0" w:after="0"/>
              <w:ind w:hanging="0"/>
              <w:jc w:val="both"/>
              <w:rPr>
                <w:rFonts w:cs="Times New Roman"/>
                <w:bCs/>
                <w:color w:val="000000"/>
                <w:sz w:val="28"/>
                <w:szCs w:val="28"/>
                <w:shd w:fill="auto" w:val="clear"/>
              </w:rPr>
            </w:pP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данным органов статистики: 6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>3748,9</w:t>
            </w:r>
            <w:r>
              <w:rPr>
                <w:rStyle w:val="111"/>
                <w:rFonts w:eastAsia="Times New Roman" w:cs="Times New Roman"/>
                <w:bCs/>
                <w:sz w:val="28"/>
                <w:szCs w:val="28"/>
                <w:shd w:fill="auto" w:val="clear"/>
              </w:rPr>
              <w:t xml:space="preserve"> руб.</w:t>
            </w:r>
          </w:p>
          <w:p>
            <w:pPr>
              <w:pStyle w:val="25"/>
              <w:widowControl w:val="false"/>
              <w:shd w:val="clear" w:fill="auto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     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Средняя  стоимость часа работы: 3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79,5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руб. (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>63748,9</w:t>
            </w:r>
            <w:r>
              <w:rPr>
                <w:rStyle w:val="111"/>
                <w:rFonts w:eastAsia="Times New Roman"/>
                <w:bCs/>
                <w:sz w:val="28"/>
                <w:szCs w:val="28"/>
                <w:shd w:fill="auto" w:val="clear"/>
              </w:rPr>
              <w:t xml:space="preserve"> руб./21 день/8ч)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    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Стоимость требования: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47238,5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руб. (3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79,5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*(1+1+1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)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+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23000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+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23000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+100)                 в расчете на 1 ед. или </w:t>
            </w:r>
            <w:r>
              <w:rPr>
                <w:rStyle w:val="111"/>
                <w:rFonts w:cs="Times New Roman"/>
                <w:sz w:val="28"/>
                <w:szCs w:val="28"/>
                <w:shd w:fill="auto" w:val="clear"/>
              </w:rPr>
              <w:t>661339</w:t>
            </w:r>
            <w:r>
              <w:rPr>
                <w:rStyle w:val="111"/>
                <w:rFonts w:cs="Times New Roman"/>
                <w:sz w:val="24"/>
                <w:szCs w:val="28"/>
                <w:shd w:fill="auto" w:val="clear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руб. на 1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>4</w:t>
            </w:r>
            <w:r>
              <w:rPr>
                <w:rFonts w:cs="Times New Roman"/>
                <w:color w:val="000000"/>
                <w:sz w:val="28"/>
                <w:szCs w:val="28"/>
                <w:shd w:fill="auto" w:val="clear"/>
              </w:rPr>
              <w:t xml:space="preserve"> заявителей.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</w:t>
            </w:r>
            <w:r>
              <w:rPr>
                <w:rFonts w:eastAsia="Times New Roman" w:cs="Times New Roman"/>
                <w:sz w:val="28"/>
                <w:szCs w:val="28"/>
              </w:rPr>
              <w:t>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по 15  ию</w:t>
            </w:r>
            <w:r>
              <w:rPr>
                <w:rFonts w:eastAsia="Times New Roman" w:cs="Times New Roman"/>
                <w:sz w:val="28"/>
                <w:szCs w:val="28"/>
              </w:rPr>
              <w:t>л</w:t>
            </w:r>
            <w:r>
              <w:rPr>
                <w:rFonts w:eastAsia="Times New Roman" w:cs="Times New Roman"/>
                <w:sz w:val="28"/>
                <w:szCs w:val="28"/>
              </w:rPr>
              <w:t>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   </w:t>
            </w:r>
            <w:r>
              <w:rPr>
                <w:sz w:val="28"/>
                <w:szCs w:val="28"/>
                <w:shd w:fill="auto" w:val="clear"/>
              </w:rPr>
              <w:t xml:space="preserve">9. В период проведения публичных консультаций замечаний </w:t>
            </w:r>
            <w:r>
              <w:rPr>
                <w:sz w:val="28"/>
                <w:szCs w:val="28"/>
              </w:rPr>
              <w:t xml:space="preserve">                                  и предложений от участников публичных консультаций не поступило. Получены   ответы   от   участников   публичных  консультаций:   </w:t>
            </w:r>
            <w:r>
              <w:rPr>
                <w:rStyle w:val="0pt"/>
                <w:rFonts w:eastAsia="Calibri"/>
                <w:sz w:val="28"/>
                <w:szCs w:val="28"/>
              </w:rPr>
              <w:t>руководителя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rStyle w:val="0pt"/>
                <w:rFonts w:eastAsia="Calibri"/>
                <w:sz w:val="28"/>
                <w:szCs w:val="28"/>
              </w:rPr>
              <w:t>филиала союза «Торгово-промышленная палата Краснодарского края»                         в Лабинском районе</w:t>
            </w:r>
            <w:r>
              <w:rPr>
                <w:sz w:val="28"/>
                <w:szCs w:val="28"/>
              </w:rPr>
              <w:t xml:space="preserve"> Морговского Ю.В., общественного представителя                        в МО        Курганинский      район       Уполномоченного     по       защите     прав предпринимателей в Краснодарском крае   Буракова В.В.,  ИП, Председателя Совета депутатов Курганинского городского поселения Курганинского района Плетнева Л.Е., ИП Кудрявцевой Е.А., ИП Разина В.Ю., ИП Липового А.В., с которыми заключены соглашения о взаимодействии                при проведении ОРВ.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10.  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 и     ограничения                              для 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</w:t>
            </w: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  и     иной     экономической   деятельности, обязанности 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или  способствующих их      введению,     оказывающих    негативное    влияние на  отрасли экономики МО Курганинский      район,     способствующих возникновению   необоснованных       расходов  физических или   юридических лиц в сфере 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предпринимательской и иной экономической                                   и инвестиционной деятельности, 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>
                <w:trHeight w:val="1869" w:hRule="atLeast"/>
              </w:trPr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Исполняющий обязанности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 xml:space="preserve">В.А. Гализина </w:t>
                  </w:r>
                  <w:r>
                    <w:rPr>
                      <w:sz w:val="28"/>
                      <w:szCs w:val="28"/>
                    </w:rPr>
                    <w:t xml:space="preserve">                                 22 ию</w:t>
                  </w:r>
                  <w:r>
                    <w:rPr>
                      <w:sz w:val="28"/>
                      <w:szCs w:val="28"/>
                    </w:rPr>
                    <w:t>л</w:t>
                  </w:r>
                  <w:r>
                    <w:rPr>
                      <w:sz w:val="28"/>
                      <w:szCs w:val="28"/>
                    </w:rPr>
                    <w:t>я 2026 г.         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2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08" w:type="dxa"/>
            <w:tcBorders/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08" w:type="dxa"/>
            <w:tcBorders/>
          </w:tcPr>
          <w:p>
            <w:pPr>
              <w:pStyle w:val="Style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0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fals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2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3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Style24">
    <w:name w:val="Заголовок списка"/>
    <w:basedOn w:val="Normal"/>
    <w:qFormat/>
    <w:pPr>
      <w:ind w:hanging="0" w:left="0" w:right="0"/>
    </w:pPr>
    <w:rPr/>
  </w:style>
  <w:style w:type="paragraph" w:styleId="Style25">
    <w:name w:val="Содержимое списка"/>
    <w:basedOn w:val="Normal"/>
    <w:qFormat/>
    <w:pPr>
      <w:ind w:hanging="0" w:left="567" w:right="0"/>
    </w:pPr>
    <w:rPr/>
  </w:style>
  <w:style w:type="paragraph" w:styleId="Style26">
    <w:name w:val="Обычный (Интернет)"/>
    <w:basedOn w:val="Normal"/>
    <w:qFormat/>
    <w:pPr>
      <w:spacing w:before="280" w:after="280"/>
    </w:pPr>
    <w:rPr/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9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30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Style31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32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Application>LibreOffice/24.8.7.2$Linux_X86_64 LibreOffice_project/480$Build-2</Application>
  <AppVersion>15.0000</AppVersion>
  <Pages>6</Pages>
  <Words>1220</Words>
  <Characters>9717</Characters>
  <CharactersWithSpaces>12278</CharactersWithSpaces>
  <Paragraphs>78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2026-07-22T16:51:33Z</cp:lastPrinted>
  <dcterms:modified xsi:type="dcterms:W3CDTF">2026-07-22T16:51:35Z</dcterms:modified>
  <cp:revision>130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