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10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10606" w:type="dxa"/>
              <w:jc w:val="left"/>
              <w:tblInd w:w="195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  <w:shd w:fill="auto" w:val="clear"/>
                </w:tcPr>
                <w:tbl>
                  <w:tblPr>
                    <w:tblW w:w="7456" w:type="dxa"/>
                    <w:jc w:val="left"/>
                    <w:tblInd w:w="3509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образования Курганинский район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user4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  <w:shd w:fill="auto" w:val="clear"/>
                </w:tcPr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 w:eastAsiaTheme="minorEastAsia"/>
                            <w:color w:val="000000"/>
                            <w:sz w:val="28"/>
                            <w:szCs w:val="28"/>
                            <w:highlight w:val="none"/>
                            <w:shd w:fill="auto" w:val="clear"/>
                          </w:rPr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 w:eastAsiaTheme="minorEastAsia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highlight w:val="white"/>
                            <w:shd w:fill="auto" w:val="clear"/>
                            <w:lang w:val="ru-RU" w:eastAsia="zh-CN" w:bidi="ar-SA"/>
                          </w:rPr>
                          <w:t>проекта постановления администрации муниципального образования Курганинский район «О внесении изменений                    в постановление администрации муниципального образования Курганинский район от 11 октября 2024 г.                                 № 1002 «Об утверждении административного регламента предоставления муниципальной услуги «Предоставление                 в собственность, аренду, безвозмездное пользование земельного участка, находящегося в государственной                        или муниципальной собственности, без проведения торгов»</w:t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                                    как 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20 февраля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DejaVu Sans" w:cs="Times New Roman" w:ascii="Times New Roman" w:hAnsi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>«О внесении изменений в постановление администрации муниципального образования Курганинский район                         от 11 октября 2024 г. № 1002 «Об утверждении административного регламента предоставления муниципальной услуги «Предоставление                         в собственность, аренду, безвозмездное пользование земельного участка, находящегося в государственной или муниципальной собственности,                         без проведения торгов»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для   подготовки  настоящего заключения управление имущественных   отношений  администрации                     МО       Курганинский       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 обязательные    требования                               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80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>постановления администрации МО Курганинский район «</w:t>
            </w:r>
            <w:r>
              <w:rPr>
                <w:rStyle w:val="Style16"/>
                <w:rFonts w:eastAsia="DejaVu Sans" w:cs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>О внесении изменений в постановление администрации муниципального образования Курганинский район от 11 октября 2024 г. № 1002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  <w:bookmarkStart w:id="0" w:name="_Hlk219190031_Копия_2"/>
            <w:r>
              <w:rPr>
                <w:rStyle w:val="Style16"/>
                <w:sz w:val="28"/>
                <w:szCs w:val="28"/>
              </w:rPr>
              <w:t>»</w:t>
            </w:r>
            <w:bookmarkEnd w:id="0"/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highlight w:val="whit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определены потенциальные адресаты предполагаемого правового регулирования.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В 2025 г. за предоставлением муниципальной услуги обратились 27  заявителей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rStyle w:val="111"/>
                <w:sz w:val="28"/>
                <w:szCs w:val="28"/>
              </w:rPr>
              <w:t>- цель предлагаемого правового регулирования разработчиком определена объективно, установлены срок и индикатор ее достижения.                        Для цели обращения «Предоставление в собственность, аренду, безвозмездное пользование земельного участка, находящегося                                    в государственной или муниципальной собственности, без проведения торгов»»: количество выданных договоров купли-продажи земельного участка; договоров аренды земельного участка; договоров безвозмездного пользования земельным участком -100 % (без учета отказов в предоставлении муниципальной услуги). Для цели обращения «Исправление допущенных опечаток и ошибок в выданных в результате предоставления муниципальной услуги документах»: количество документов, выданных по результату ранее предоставленной муниципальной услуги, без опечаток;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практическая    реализуемость     заявленных  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highlight w:val="white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highlight w:val="white"/>
              </w:rPr>
              <w:t xml:space="preserve">    </w:t>
            </w:r>
            <w:r>
              <w:rPr>
                <w:sz w:val="28"/>
                <w:szCs w:val="28"/>
                <w:highlight w:val="white"/>
              </w:rPr>
              <w:t>В соответствии с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в части прав   и   обязанностей    субъектов    предпринимательской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DejaVu Sans" w:cs="Times New Roman" w:eastAsiaTheme="minorEastAsia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потенциальной группой участников общественных отношений, интересы которых будут затронуты предлагаемым правовым регулированием, являются физические лица, индивидуальные предприниматели, крестьянские (фермерские) хозяйства, юридические лица</w:t>
            </w:r>
            <w:r>
              <w:rPr>
                <w:rFonts w:eastAsia="DejaVu Sans" w:cs="Times New Roman" w:eastAsiaTheme="minorEastAsia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Определить точное количество не представля</w:t>
            </w:r>
            <w:r>
              <w:rPr>
                <w:rFonts w:eastAsia="DejaVu Sans" w:cs="Times New Roman" w:eastAsiaTheme="minorEastAsia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ется возможным  в связи                       с заявительным характером предлагаемого правового регулирования. </w:t>
            </w:r>
            <w:r>
              <w:rPr>
                <w:rStyle w:val="111"/>
                <w:rFonts w:eastAsia="DejaVu Sans" w:cs="Times New Roman" w:eastAsiaTheme="minorEastAsia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 2025 г. за предоставлением муниципальной услуги обратились 27  заявителей</w:t>
            </w:r>
            <w:r>
              <w:rPr>
                <w:rFonts w:eastAsia="DejaVu Sans" w:cs="Times New Roman" w:eastAsiaTheme="minorEastAsia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3000" w:hRule="atLeast"/>
              </w:trPr>
              <w:tc>
                <w:tcPr>
                  <w:tcW w:w="9680" w:type="dxa"/>
                  <w:tcBorders/>
                  <w:shd w:fill="auto" w:val="clear"/>
                </w:tcPr>
                <w:p>
                  <w:pPr>
                    <w:pStyle w:val="ConsPlusNonformat"/>
                    <w:ind w:firstLine="708"/>
                    <w:jc w:val="both"/>
                    <w:rPr>
                      <w:highlight w:val="none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нецелесообразность использования действующего административного регламента предоставления муниципальной услуги «Предоставление                             в собственность, аренду, безвозмездное пользование земельного участка, находящегося в государственной или муниципальной собственности,                       без проведения торгов», в связи с его несоответствием действующему законодательству.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целях 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предоставления муниципальной услуги </w:t>
                  </w:r>
                  <w:r>
                    <w:rPr>
                      <w:rStyle w:val="111"/>
                      <w:rFonts w:eastAsia="DejaVu Sans" w:cs="Times New Roman" w:eastAsiaTheme="minorEastAsia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</w:t>
                  </w: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в соответствие  требованиям действующего законодательства.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 w:eastAsiaTheme="minorEastAsia"/>
                      <w:sz w:val="28"/>
                      <w:szCs w:val="28"/>
                      <w:shd w:fill="auto" w:val="clear"/>
                    </w:rPr>
                    <w:t xml:space="preserve">   </w:t>
                  </w:r>
                  <w:r>
                    <w:rPr>
                      <w:rStyle w:val="111"/>
                      <w:rFonts w:eastAsia="DejaVu Sans" w:eastAsiaTheme="minorEastAsia"/>
                      <w:sz w:val="28"/>
                      <w:szCs w:val="28"/>
                      <w:shd w:fill="auto" w:val="clear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         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1" w:name="_Hlk1212346144"/>
            <w:bookmarkEnd w:id="1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111"/>
                <w:rFonts w:eastAsia="DejaVu Sans" w:cs="Times New Roman" w:eastAsiaTheme="minorEastAsia"/>
                <w:kern w:val="0"/>
                <w:sz w:val="28"/>
                <w:szCs w:val="28"/>
                <w:shd w:fill="auto" w:val="clear"/>
                <w:lang w:bidi="ar-SA"/>
              </w:rPr>
      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изменены основания для отказа в предоставлении земельного участка.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111"/>
                <w:rFonts w:eastAsia="DejaVu Sans" w:eastAsiaTheme="minorEastAsia"/>
                <w:sz w:val="28"/>
                <w:szCs w:val="28"/>
                <w:shd w:fill="auto" w:val="clear"/>
              </w:rPr>
              <w:t>Возможные  риски  не  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Дополнительные расходы бюджета МО Курганинский   район,                             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 xml:space="preserve"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Дополнительные расходы потенциальных адресатов предлагаемого правового регулирования,                            по мнению разработчика, предполагаются в виде информационных издержек, связанных с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text1" w:val="000000"/>
                <w:sz w:val="28"/>
                <w:szCs w:val="28"/>
                <w:shd w:fill="FFFFFF" w:val="clear"/>
              </w:rPr>
              <w:t xml:space="preserve">трудозатратами на подачу заявления для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предоставления муниципальной услуги «Предоставление в собственность, аренду, безвозмездное пользование земельного участка, находящегося                                      в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 xml:space="preserve"> государственной или муниципальной собственности, без проведения торгов»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text1" w:val="000000"/>
                <w:sz w:val="28"/>
                <w:szCs w:val="28"/>
                <w:shd w:fill="FFFFFF" w:val="clear"/>
              </w:rPr>
              <w:t xml:space="preserve"> в расчете на одного заявителя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в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text1" w:val="000000"/>
                <w:sz w:val="28"/>
                <w:szCs w:val="28"/>
                <w:shd w:fill="FFFFFF" w:val="clear"/>
              </w:rPr>
              <w:t xml:space="preserve"> размере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примерно 1080,49 руб.                                   или 29173,23 руб. в расчете на 27 заявителей.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 и представление информации (документов, сведений) в соответствии     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аявления о предоставлении муниципальной услуги «Предоставление в собственность, аренду, безвозмездное пользование земельного участка, находящегося                                        в государственной или муниципальной собственности, без проведения торгов»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число заявлений - 1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любого документа низкого уровня сложности (менее 5 стр. 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за 11 месяцев 2025 г. согласно данным органов статистики: 60450,5 руб.</w:t>
            </w:r>
          </w:p>
          <w:p>
            <w:pPr>
              <w:pStyle w:val="25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ab/>
              <w:t>Средняя  стоимость часа работы: 359,83 руб.                       (60450,5руб./21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     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Стоимость тр</w:t>
            </w:r>
            <w:r>
              <w:rPr>
                <w:rFonts w:eastAsia="Arial" w:cs="Times New Roman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ебования: 1080,49 руб. ((359,83*(1+1+1) +100) в расчете              на 1 ед. или 29173,23 руб. на 27 заявителей.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highlight w:val="white"/>
                <w:shd w:fill="F10D0C" w:val="clear"/>
                <w:lang w:val="ru-RU" w:eastAsia="ru-RU" w:bidi="ar-SA"/>
              </w:rPr>
              <w:t xml:space="preserve">        </w:t>
            </w: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20 февраля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 6 марта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</w:hyperlink>
            <w:hyperlink r:id="rId3"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</w:hyperlink>
            <w:hyperlink r:id="rId4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предпринимателей в Краснодарском крае   Буракова В.В., индивидуального предпринимателя (далее - ИП), Председателя Совета депутатов Курганинского городского поселения Курганинского района Плетнева Л.Е.,                                     ИП Кудрявцевой Е.А., ИП Разина В.Ю., ИП Липового А.В.,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и     ограничения для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и   иной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     район,     способствующих возникновению   необоснованных   расходов физических или   юридических лиц в сфере предпринимательской и иной экономической иинвестиционной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Е.В. Разумеева                                     16 марта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2">
    <w:name w:val="Заголовок списка (user)"/>
    <w:basedOn w:val="Normal"/>
    <w:qFormat/>
    <w:pPr>
      <w:ind w:hanging="0" w:left="0" w:right="0"/>
    </w:pPr>
    <w:rPr/>
  </w:style>
  <w:style w:type="paragraph" w:styleId="user3">
    <w:name w:val="Содержимое списка (user)"/>
    <w:basedOn w:val="Normal"/>
    <w:qFormat/>
    <w:pPr>
      <w:ind w:hanging="0" w:left="567" w:right="0"/>
    </w:pPr>
    <w:rPr/>
  </w:style>
  <w:style w:type="paragraph" w:styleId="Style23">
    <w:name w:val="Обычный (Интернет)"/>
    <w:basedOn w:val="Normal"/>
    <w:qFormat/>
    <w:pPr>
      <w:spacing w:before="280" w:after="280"/>
    </w:pPr>
    <w:rPr/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5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Style2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yperlink" Target="http://www.investkurg@mail.ru" TargetMode="External"/><Relationship Id="rId4" Type="http://schemas.openxmlformats.org/officeDocument/2006/relationships/hyperlink" Target="http://www.investkurg@mail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Application>LibreOffice/24.8.5.2$Linux_X86_64 LibreOffice_project/480$Build-2</Application>
  <AppVersion>15.0000</AppVersion>
  <Pages>6</Pages>
  <Words>1371</Words>
  <Characters>10973</Characters>
  <CharactersWithSpaces>13906</CharactersWithSpaces>
  <Paragraphs>71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2026-03-11T08:24:52Z</cp:lastPrinted>
  <dcterms:modified xsi:type="dcterms:W3CDTF">2026-03-16T10:49:12Z</dcterms:modified>
  <cp:revision>126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