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60" w:type="dxa"/>
        <w:jc w:val="left"/>
        <w:tblInd w:w="-101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860"/>
      </w:tblGrid>
      <w:tr>
        <w:trPr>
          <w:trHeight w:val="6180" w:hRule="atLeast"/>
        </w:trPr>
        <w:tc>
          <w:tcPr>
            <w:tcW w:w="9860" w:type="dxa"/>
            <w:tcBorders/>
            <w:shd w:fill="auto" w:val="clear"/>
          </w:tcPr>
          <w:tbl>
            <w:tblPr>
              <w:tblW w:w="10606" w:type="dxa"/>
              <w:jc w:val="left"/>
              <w:tblInd w:w="130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6"/>
            </w:tblGrid>
            <w:tr>
              <w:trPr/>
              <w:tc>
                <w:tcPr>
                  <w:tcW w:w="10606" w:type="dxa"/>
                  <w:tcBorders/>
                  <w:shd w:fill="auto" w:val="clear"/>
                </w:tcPr>
                <w:tbl>
                  <w:tblPr>
                    <w:tblW w:w="9364" w:type="dxa"/>
                    <w:jc w:val="left"/>
                    <w:tblInd w:w="127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9364"/>
                  </w:tblGrid>
                  <w:tr>
                    <w:trPr>
                      <w:trHeight w:val="4020" w:hRule="atLeast"/>
                    </w:trPr>
                    <w:tc>
                      <w:tcPr>
                        <w:tcW w:w="9364" w:type="dxa"/>
                        <w:tcBorders/>
                      </w:tcPr>
                      <w:p>
                        <w:pPr>
                          <w:pStyle w:val="user4"/>
                          <w:widowControl/>
                          <w:suppressLineNumbers/>
                          <w:suppressAutoHyphens w:val="true"/>
                          <w:overflowPunct w:val="true"/>
                          <w:bidi w:val="0"/>
                          <w:spacing w:before="0" w:after="0"/>
                          <w:ind w:hanging="0" w:left="0" w:right="-4932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 xml:space="preserve">                                           </w:t>
                        </w: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Н</w:t>
                        </w:r>
                        <w:r>
                          <w:rPr>
                            <w:rFonts w:eastAsia="Times New Roman" w:cs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ачальнику управления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suppressAutoHyphens w:val="true"/>
                          <w:overflowPunct w:val="true"/>
                          <w:bidi w:val="0"/>
                          <w:spacing w:before="0" w:after="0"/>
                          <w:ind w:hanging="0" w:left="0" w:right="-4932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 xml:space="preserve">                                           </w:t>
                        </w:r>
                        <w:r>
                          <w:rPr>
                            <w:rFonts w:eastAsia="Times New Roman" w:cs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имущественных отношений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suppressAutoHyphens w:val="true"/>
                          <w:overflowPunct w:val="true"/>
                          <w:bidi w:val="0"/>
                          <w:spacing w:before="0" w:after="0"/>
                          <w:ind w:hanging="0" w:left="0" w:right="-4932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 xml:space="preserve">                                           </w:t>
                        </w:r>
                        <w:r>
                          <w:rPr>
                            <w:rFonts w:eastAsia="Times New Roman" w:cs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администрации муниципального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suppressAutoHyphens w:val="true"/>
                          <w:overflowPunct w:val="true"/>
                          <w:bidi w:val="0"/>
                          <w:spacing w:before="0" w:after="0"/>
                          <w:ind w:hanging="0" w:left="0" w:right="-4932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 xml:space="preserve">                                           </w:t>
                        </w:r>
                        <w:r>
                          <w:rPr>
                            <w:rFonts w:eastAsia="Times New Roman" w:cs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образования Курганинский район</w:t>
                        </w:r>
                      </w:p>
                      <w:p>
                        <w:pPr>
                          <w:pStyle w:val="Style27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Style27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                          </w:t>
                        </w:r>
                        <w:r>
                          <w:rPr>
                            <w:sz w:val="28"/>
                            <w:szCs w:val="28"/>
                          </w:rPr>
                          <w:t>Е.В. Лукьяненко</w:t>
                        </w:r>
                      </w:p>
                      <w:p>
                        <w:pPr>
                          <w:pStyle w:val="Style27"/>
                          <w:rPr>
                            <w:sz w:val="28"/>
                            <w:szCs w:val="28"/>
                          </w:rPr>
                        </w:pPr>
                        <w:r>
                          <w:rPr/>
                        </w:r>
                      </w:p>
                      <w:p>
                        <w:pPr>
                          <w:pStyle w:val="Style27"/>
                          <w:rPr>
                            <w:sz w:val="28"/>
                            <w:szCs w:val="28"/>
                          </w:rPr>
                        </w:pPr>
                        <w:r>
                          <w:rPr/>
                        </w:r>
                      </w:p>
                      <w:p>
                        <w:pPr>
                          <w:pStyle w:val="Style27"/>
                          <w:rPr>
                            <w:sz w:val="28"/>
                            <w:szCs w:val="28"/>
                          </w:rPr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user4"/>
                    <w:jc w:val="both"/>
                    <w:rPr>
                      <w:rFonts w:eastAsia="Times New Roman" w:cs="Times New Roman"/>
                      <w:b w:val="false"/>
                      <w:bCs/>
                      <w:i w:val="false"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637" w:hRule="atLeast"/>
              </w:trPr>
              <w:tc>
                <w:tcPr>
                  <w:tcW w:w="10606" w:type="dxa"/>
                  <w:tcBorders/>
                  <w:shd w:fill="auto" w:val="clear"/>
                </w:tcPr>
                <w:p>
                  <w:pPr>
                    <w:pStyle w:val="Heading1"/>
                    <w:shd w:val="clear" w:fill="FFFFFF"/>
                    <w:jc w:val="left"/>
                    <w:rPr/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Заключение</w:t>
                  </w:r>
                </w:p>
                <w:p>
                  <w:pPr>
                    <w:pStyle w:val="Heading1"/>
                    <w:shd w:val="clear" w:fill="FFFFFF"/>
                    <w:jc w:val="left"/>
                    <w:rPr/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об оценке регулирующего воздействия</w:t>
                  </w:r>
                </w:p>
              </w:tc>
            </w:tr>
          </w:tbl>
          <w:p/>
        </w:tc>
      </w:tr>
      <w:tr>
        <w:trPr>
          <w:trHeight w:val="6398" w:hRule="atLeast"/>
        </w:trPr>
        <w:tc>
          <w:tcPr>
            <w:tcW w:w="9860" w:type="dxa"/>
            <w:tcBorders/>
            <w:shd w:fill="auto" w:val="clear"/>
          </w:tcPr>
          <w:tbl>
            <w:tblPr>
              <w:tblW w:w="8460" w:type="dxa"/>
              <w:jc w:val="left"/>
              <w:tblInd w:w="1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460"/>
            </w:tblGrid>
            <w:tr>
              <w:trPr>
                <w:trHeight w:val="2780" w:hRule="atLeast"/>
              </w:trPr>
              <w:tc>
                <w:tcPr>
                  <w:tcW w:w="8460" w:type="dxa"/>
                  <w:tcBorders/>
                </w:tcPr>
                <w:p>
                  <w:pPr>
                    <w:pStyle w:val="ConsPlusNonformat"/>
                    <w:jc w:val="both"/>
                    <w:rPr/>
                  </w:pPr>
                  <w:r>
                    <w:rPr>
                      <w:rStyle w:val="Style16"/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7"/>
                      <w:szCs w:val="27"/>
                      <w:shd w:fill="auto" w:val="clear"/>
                    </w:rPr>
                    <w:t>П</w:t>
                  </w:r>
                  <w:bookmarkStart w:id="0" w:name="__DdeLink__1798_462506400_Копия_1"/>
                  <w:r>
                    <w:rPr>
                      <w:rStyle w:val="Style16"/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7"/>
                      <w:szCs w:val="27"/>
                      <w:shd w:fill="auto" w:val="clear"/>
                    </w:rPr>
                    <w:t>роекта</w:t>
                  </w:r>
                  <w:bookmarkEnd w:id="0"/>
                  <w:r>
                    <w:rPr>
                      <w:rStyle w:val="Style16"/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7"/>
                      <w:szCs w:val="27"/>
                      <w:shd w:fill="auto" w:val="clear"/>
                    </w:rPr>
                    <w:t xml:space="preserve">  </w:t>
                  </w:r>
                  <w:r>
                    <w:rPr>
                      <w:rStyle w:val="Style16"/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7"/>
                      <w:szCs w:val="27"/>
                      <w:shd w:fill="auto" w:val="clear"/>
                      <w:lang w:eastAsia="zh-CN"/>
                    </w:rPr>
                    <w:t xml:space="preserve">постановления администрации муниципального образования Курганинский район «О внесении изменений в </w:t>
                  </w:r>
                  <w:bookmarkStart w:id="1" w:name="_Hlk219190031_Копия_1"/>
                  <w:r>
                    <w:rPr>
                      <w:rStyle w:val="Style16"/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7"/>
                      <w:szCs w:val="27"/>
                      <w:shd w:fill="auto" w:val="clear"/>
                      <w:lang w:eastAsia="zh-CN"/>
                    </w:rPr>
                    <w:t>постановление администрации муниципального образования Курганинский район              от 26 апреля 2016 г. № 296 «О Порядке определения размера арендной платы, а также порядке, условиях и сроках внесения арендной платы за земельные участки, находящиеся  в собственности муниципального образования Курганинский район, предоставленные в аренду                     без торгов»</w:t>
                  </w:r>
                  <w:bookmarkEnd w:id="1"/>
                  <w:r>
                    <w:rPr>
                      <w:rStyle w:val="Style16"/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7"/>
                      <w:szCs w:val="27"/>
                      <w:shd w:fill="auto" w:val="clear"/>
                    </w:rPr>
                    <w:t>».</w:t>
                  </w:r>
                </w:p>
                <w:p>
                  <w:pPr>
                    <w:pStyle w:val="ConsPlusNonformat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bCs/>
                      <w:color w:val="000000"/>
                      <w:spacing w:val="2"/>
                      <w:sz w:val="28"/>
                      <w:szCs w:val="28"/>
                      <w:shd w:fill="auto" w:val="clear"/>
                    </w:rPr>
                  </w:pPr>
                  <w:r>
                    <w:rPr/>
                  </w:r>
                </w:p>
              </w:tc>
            </w:tr>
          </w:tbl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Отдел инвестиций и стратегического развития администрации муниципального образования (далее - МО) Курганинский район                                     как уполномоченный орган по проведению оценки регулирующего воздействия (далее - ОРВ)  проектов муниципальных правовых актов (далее - МПА)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МО Курганинский район, рассмотрел поступивший 14 января 2026 года проект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постановления администрации муниципального образования Курганинский район «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О внесении изменений в </w:t>
            </w:r>
            <w:bookmarkStart w:id="2" w:name="_Hlk219190031_Копия_1"/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постановление администрации муниципального образования Курганинский район от 26 апреля 2016 г. № 296 «О Порядке определения размера арендной платы, а также порядке, условиях                    и сроках внесения арендной платы за земельные участки, находящиеся                         в собственности муниципального образования Курганинский район, предоставленные в аренду без торгов»</w:t>
            </w:r>
            <w:bookmarkEnd w:id="2"/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, направленный для подготовки настоящего Заключения управлениеми мущественных отношений администрации МО Курганинский район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(далее - разработчик) и сообщает следующее.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В соответствии с Порядком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проведения ОРВ проектов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</w:t>
            </w:r>
            <w:r>
              <w:rPr>
                <w:rStyle w:val="Style12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администрации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МО 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Курганинский район,  устанавливающих    новые          или      изменяющих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ранее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предусмотренные      МПА   обязательные    требования для       субъектов предпринимательской и    иной     экономической      деятельности,        обязанности для        субъектов           инвестиционной деятельности, утверждённым постановлением администрации муниципального образования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район от     10 декабря 2025   года №   1202 «Об    утверждении      Порядка проведения       оценки       регулирующего воздействия  проектов муниципальных правовых   актов   муниципального образования  Курганинский район, устанавливающих новые или  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-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Порядок) проект подлежит проведению ОРВ.</w:t>
            </w:r>
          </w:p>
        </w:tc>
      </w:tr>
      <w:tr>
        <w:trPr>
          <w:trHeight w:val="2380" w:hRule="atLeast"/>
        </w:trPr>
        <w:tc>
          <w:tcPr>
            <w:tcW w:w="9860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Проект на</w:t>
            </w:r>
            <w:r>
              <w:rPr>
                <w:sz w:val="28"/>
                <w:szCs w:val="28"/>
              </w:rPr>
              <w:t xml:space="preserve">правлен разработчиком для проведения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впервые.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Проведён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              а также эффективности способов решения проблемы в сравнении                                 с действующим на момент проведения процедуры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правовым регулированием рассматриваемой сферы общественных отношений.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Разработчиком предложен один вариант правового регулирования - принятие МПА, </w:t>
            </w:r>
            <w:bookmarkStart w:id="3" w:name="__DdeLink__1798_462506400_Копия_1"/>
            <w:r>
              <w:rPr>
                <w:sz w:val="28"/>
                <w:szCs w:val="28"/>
              </w:rPr>
              <w:t> </w:t>
            </w:r>
            <w:bookmarkEnd w:id="3"/>
            <w:r>
              <w:rPr>
                <w:rStyle w:val="Style16"/>
                <w:rFonts w:cs="Times New Roman"/>
                <w:bCs/>
                <w:sz w:val="28"/>
                <w:szCs w:val="28"/>
                <w:shd w:fill="auto" w:val="clear"/>
              </w:rPr>
              <w:t>постановления администрации МО Курганинский район                 «</w:t>
            </w:r>
            <w:r>
              <w:rPr>
                <w:rStyle w:val="Style16"/>
                <w:rFonts w:eastAsia="Times New Roman" w:cs="Times New Roman"/>
                <w:bCs/>
                <w:sz w:val="28"/>
                <w:szCs w:val="28"/>
                <w:shd w:fill="auto" w:val="clear"/>
                <w:lang w:eastAsia="zh-CN"/>
              </w:rPr>
              <w:t xml:space="preserve">О внесении изменений в </w:t>
            </w:r>
            <w:bookmarkStart w:id="4" w:name="_Hlk219190031_Копия_2"/>
            <w:r>
              <w:rPr>
                <w:rStyle w:val="Style16"/>
                <w:rFonts w:eastAsia="Times New Roman" w:cs="Times New Roman"/>
                <w:bCs/>
                <w:sz w:val="28"/>
                <w:szCs w:val="28"/>
                <w:shd w:fill="auto" w:val="clear"/>
                <w:lang w:eastAsia="zh-CN"/>
              </w:rPr>
              <w:t>постановление администрации муниципального образования Курганинский район от 26 апреля 2016 г. № 296 «О Порядке определения размера арендной платы, а также порядке, условиях и сроках внесения арендной платы за земельные участки, находящиеся  в собственности муниципального образования Курганинский район, предоставленные в аренду                          без торгов»</w:t>
            </w:r>
            <w:bookmarkEnd w:id="4"/>
            <w:r>
              <w:rPr>
                <w:rStyle w:val="Style16"/>
                <w:rFonts w:cs="Times New Roman"/>
                <w:bCs/>
                <w:sz w:val="28"/>
                <w:szCs w:val="28"/>
                <w:shd w:fill="auto" w:val="clear"/>
              </w:rPr>
              <w:t>».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качестве альтернативы рассмотрен вариант непринятия МПА.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>Проведено сравнение указанных вариантов правового регулирования.        Выбор варианта правового регулирования сделан исходя из оценки возможности достижения заявленной цели регулирования и оценки рисков нас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>тупления неблагоприятных последствий.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highlight w:val="white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 xml:space="preserve">    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разделах сводного отчёта и установлено следующее: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 xml:space="preserve">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 xml:space="preserve">- проблема, </w:t>
            </w:r>
            <w:r>
              <w:rPr>
                <w:sz w:val="28"/>
                <w:szCs w:val="28"/>
              </w:rPr>
              <w:t>на решение которой направлено правовое регулирование, сформулирована точно;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определены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потенциальные адресаты предполагаемого правового регулирования -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физические и юридические лица, индивидуальные предприниматели;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/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- цель предлагаемого правового регулирования разработчиком определена объективно;</w:t>
            </w:r>
          </w:p>
          <w:p>
            <w:pPr>
              <w:pStyle w:val="Normal"/>
              <w:spacing w:lineRule="auto" w:line="240"/>
              <w:ind w:firstLine="743" w:left="0" w:right="0"/>
              <w:jc w:val="center"/>
              <w:rPr/>
            </w:pPr>
            <w:r>
              <w:rPr>
                <w:sz w:val="28"/>
                <w:szCs w:val="28"/>
              </w:rPr>
              <w:t>3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практическая    реализуемость     заявленных     целей    предполагаемого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>правового регулирования будет достигнута;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 сроки достижения заявленной цели - с даты вступления в силу настоящего постановления</w:t>
            </w:r>
            <w:r>
              <w:rPr>
                <w:rStyle w:val="111"/>
                <w:sz w:val="28"/>
                <w:szCs w:val="28"/>
              </w:rPr>
              <w:t>,</w:t>
            </w:r>
            <w:r>
              <w:rPr>
                <w:rStyle w:val="111"/>
                <w:sz w:val="28"/>
                <w:szCs w:val="28"/>
                <w:shd w:fill="auto" w:val="clear"/>
              </w:rPr>
              <w:t xml:space="preserve"> в монито</w:t>
            </w:r>
            <w:r>
              <w:rPr>
                <w:rStyle w:val="111"/>
                <w:sz w:val="28"/>
                <w:szCs w:val="28"/>
              </w:rPr>
              <w:t>ринге достижения цели не нуждается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оценка   дополнительных   расходов     и    доходов   потенциальных лиц, участвующих  в   правоотношениях,   подлежащих   правовому  регулированию, и расходов местного бюджета, связанных с введением предлагаемого правового регулирования определена корректно;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Выявленная проблема может быть решена исключительно посредством п</w:t>
            </w:r>
            <w:r>
              <w:rPr>
                <w:sz w:val="28"/>
                <w:szCs w:val="28"/>
                <w:highlight w:val="white"/>
              </w:rPr>
              <w:t>ринятия предлагаемого правового регулирования.</w:t>
            </w:r>
          </w:p>
          <w:p>
            <w:pPr>
              <w:pStyle w:val="Normal"/>
              <w:shd w:val="clear" w:fill="FFFFFF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highlight w:val="white"/>
              </w:rPr>
              <w:t>В соответствии с   Порядком установлено следующее: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1. Потенциальные    группы    участников    общественных     отношений, интересы  которых    могут   быть   затронуты   правовым регулированием в части прав   и   обязанностей    субъектов    предпринимательской и инвестицион</w:t>
            </w:r>
            <w:r>
              <w:rPr>
                <w:sz w:val="28"/>
                <w:szCs w:val="28"/>
                <w:shd w:fill="auto" w:val="clear"/>
              </w:rPr>
              <w:t>ной деятельнос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ти </w:t>
            </w:r>
            <w:r>
              <w:rPr>
                <w:sz w:val="28"/>
                <w:szCs w:val="28"/>
                <w:shd w:fill="auto" w:val="clear"/>
              </w:rPr>
              <w:t>-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 физические                             и юридические лица, индивидуальные предприниматели, осуществляющие деятельность в соответствии с действующим  законодательством Российской Федерации либо их уполномоченные представители.</w:t>
            </w:r>
          </w:p>
          <w:p>
            <w:pPr>
              <w:pStyle w:val="Normal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Проблема, на решение которой направлено правовое регулирование:</w:t>
            </w:r>
          </w:p>
          <w:tbl>
            <w:tblPr>
              <w:tblW w:w="96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0"/>
            </w:tblGrid>
            <w:tr>
              <w:trPr>
                <w:trHeight w:val="1020" w:hRule="atLeast"/>
              </w:trPr>
              <w:tc>
                <w:tcPr>
                  <w:tcW w:w="9680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1036" w:leader="none"/>
                    </w:tabs>
                    <w:ind w:hanging="0"/>
                    <w:jc w:val="both"/>
                    <w:rPr/>
                  </w:pPr>
                  <w:r>
                    <w:rPr>
                      <w:rStyle w:val="Style16"/>
                      <w:rFonts w:eastAsia="DejaVu Sans" w:cs="Times New Roman" w:eastAsiaTheme="minorEastAsia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невозможность корректного расчета годовой арендной платы за земельные участки, находящиеся в собственности муниципального образования Курганинский район, предоставленные в аренду без торгов. Постановление администрации муниципального образования Курганинский район                     от 26 апреля 2016 г. № 296 «О Порядке определения размера арендной платы, а также порядке, условиях и сроках внесения арендной платы за земельные участки, находящиеся в собственности муниципального образования Курганинский район, предоставленные в аренду без торгов» не соответствует действующему законодательству.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>Указанная проблема может быть решена исключительно посредством принятия предложенного документа.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3.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Проект разработан в целях </w:t>
                  </w:r>
                  <w:r>
                    <w:rPr>
                      <w:rStyle w:val="111"/>
                      <w:rFonts w:eastAsia="Times New Roman" w:cs="Times New Roman"/>
                      <w:bCs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 произведения корректного расчета годовой арендной платы за земельные участки, находящиеся                                     в собственности муниципального образования Курганинский район, предоставленные в аренду без торгов.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>Вышеуказанные цели соответствуют принципам правового регулирования, установленным законодательством Российской Федерации               и     Краснодарского края.</w:t>
                  </w:r>
                </w:p>
              </w:tc>
            </w:tr>
          </w:tbl>
          <w:p>
            <w:pPr>
              <w:pStyle w:val="Normal"/>
              <w:ind w:firstLine="743" w:left="0" w:right="0"/>
              <w:jc w:val="both"/>
              <w:rPr/>
            </w:pPr>
            <w:bookmarkStart w:id="5" w:name="_Hlk1212346144"/>
            <w:bookmarkEnd w:id="5"/>
            <w:r>
              <w:rPr>
                <w:sz w:val="28"/>
                <w:szCs w:val="28"/>
              </w:rPr>
              <w:t xml:space="preserve">4. </w:t>
            </w:r>
            <w:r>
              <w:rPr>
                <w:rStyle w:val="Style16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Проект муниципального нормативного правового акта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                 для субъектов инвестиционной деятельности, изменяется  содержание и порядок    реализации    полномочий    органов    местного  самоуправления МО</w:t>
            </w:r>
          </w:p>
          <w:p>
            <w:pPr>
              <w:pStyle w:val="Normal"/>
              <w:ind w:firstLine="743" w:left="0" w:right="0"/>
              <w:jc w:val="center"/>
              <w:rPr/>
            </w:pPr>
            <w:r>
              <w:rPr>
                <w:rStyle w:val="Style16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  <w:p>
            <w:pPr>
              <w:pStyle w:val="Normal"/>
              <w:ind w:hanging="0" w:left="0" w:right="0"/>
              <w:jc w:val="both"/>
              <w:rPr/>
            </w:pPr>
            <w:r>
              <w:rPr>
                <w:rStyle w:val="Style16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Курганинский район в отношениях с субъектами предпринимательской и иной экономической деятельности.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5. Возможные  риски  не  достижения  це</w:t>
            </w:r>
            <w:r>
              <w:rPr>
                <w:sz w:val="28"/>
                <w:szCs w:val="28"/>
                <w:shd w:fill="FFFFFF" w:val="clear"/>
              </w:rPr>
              <w:t>лей    правового регу</w:t>
            </w:r>
            <w:r>
              <w:rPr>
                <w:sz w:val="28"/>
                <w:szCs w:val="28"/>
              </w:rPr>
              <w:t>лирования,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а  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также</w:t>
            </w:r>
            <w:r>
              <w:rPr>
                <w:sz w:val="28"/>
                <w:szCs w:val="28"/>
              </w:rPr>
              <w:t xml:space="preserve">        возможные         негативные       последствия от введения правового регулирования для экономического развития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МО</w:t>
            </w:r>
            <w:r>
              <w:rPr>
                <w:sz w:val="28"/>
                <w:szCs w:val="28"/>
              </w:rPr>
              <w:t xml:space="preserve"> Курганинский район </w:t>
            </w: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>отсутствуют.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 xml:space="preserve">6. Дополнительные расходы бюджета МО Курганинский   район,                             а  также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auto" w:val="clear"/>
              </w:rPr>
              <w:t>расходы субъектов предпринимательской и инвестиционной деятельности, понесенные         от          регулирующего      воздействия предлагаемого проекта МПА не предполагаются.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7. В соответствии с Порядком уполномоченный орган провел публичные консультации по проекту в период </w:t>
            </w:r>
            <w:r>
              <w:rPr>
                <w:rFonts w:eastAsia="Times New Roman" w:cs="Times New Roman"/>
                <w:sz w:val="28"/>
                <w:szCs w:val="28"/>
              </w:rPr>
              <w:t>с 14  по 27 января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2026 года.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8. Информация о проводимых публичных консультациях была размещена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официальном сайте администрации муниципального образования Курганинский район </w:t>
            </w:r>
            <w:hyperlink r:id="rId2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 xml:space="preserve">www: </w:t>
              </w:r>
            </w:hyperlink>
            <w:hyperlink r:id="rId3">
              <w:r>
                <w:rPr>
                  <w:rStyle w:val="Hyperlink"/>
                  <w:color w:val="000000"/>
                  <w:sz w:val="28"/>
                  <w:szCs w:val="28"/>
                  <w:u w:val="none"/>
                  <w:lang w:val="en-US"/>
                </w:rPr>
                <w:t>admkurganinsk</w:t>
              </w:r>
            </w:hyperlink>
            <w:hyperlink r:id="rId4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9. В период проведения публичных консультаций замечаний и предложе-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ний и предложений от участников публичных консультаций не поступило. Получены ответы от участников публичных консультаций: </w:t>
            </w:r>
            <w:r>
              <w:rPr>
                <w:rStyle w:val="0pt"/>
                <w:rFonts w:eastAsia="Calibri"/>
                <w:sz w:val="28"/>
                <w:szCs w:val="28"/>
              </w:rPr>
              <w:t>руководителя филиала союза «Торгово-промышленная палата Краснодарского края»                         в Лабинском районе</w:t>
            </w:r>
            <w:r>
              <w:rPr>
                <w:sz w:val="28"/>
                <w:szCs w:val="28"/>
              </w:rPr>
              <w:t xml:space="preserve"> Морговского Ю.В., общественного представителя                        в МО Курганинский район Уполномоченного по защите прав предпринимателей в Краснодарском крае   Буракова В.В., индивидуального предпринимателя (далее - ИП), Председателя Совета депутатов Курганинского городского поселения Курганинского района Плетнева Л.Е.,                                     ИП Кудрявцевой Е.А., ИП Разина В.Ю., ИП Липового А.В., с которыми заключены соглашения о взаимодействии при проведении оценки регулирующего воздействия.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10.  По результатам оценки регулирующего воздействия сделаны выводы:            в проекте МПА отсутствуют положения, вводящие избыточные    административные      обязанности,     запреты и     ограничения для </w:t>
            </w:r>
            <w:r>
              <w:rPr>
                <w:rFonts w:cs="Times New Roman"/>
                <w:i w:val="false"/>
                <w:iCs w:val="false"/>
                <w:sz w:val="28"/>
                <w:szCs w:val="28"/>
              </w:rPr>
              <w:t xml:space="preserve">субъектов   </w:t>
            </w: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>предпринимательской  и   иной   экономической   деятельности, обязанности для субъектов инвестиционной деятельности</w:t>
            </w:r>
            <w:r>
              <w:rPr>
                <w:rFonts w:cs="Times New Roman"/>
                <w:b w:val="false"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или  способствующих                              их введению, оказывающих негативное влияние на отрасли экономики                    МО Курганинский      район,     способствующих возникновению   необоснованных   расходов физических или   юридических лиц в сфере предпринимательской и иной экономической иинвестиционной деятельности,                   а  также необоснованных расходов бюджета МО  Курганинский район.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3"/>
            </w:tblGrid>
            <w:tr>
              <w:trPr/>
              <w:tc>
                <w:tcPr>
                  <w:tcW w:w="9923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Начальник отдела инвестиций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и стратегического развития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администрации муниципального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образования Курганинский район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Е.В. Разумеева                                 3 февраля 2026 г.               ______________</w:t>
                  </w:r>
                </w:p>
              </w:tc>
            </w:tr>
            <w:tr>
              <w:trPr/>
              <w:tc>
                <w:tcPr>
                  <w:tcW w:w="9923" w:type="dxa"/>
                  <w:tcBorders/>
                  <w:shd w:fill="auto" w:val="clear"/>
                </w:tcPr>
                <w:p>
                  <w:pPr>
                    <w:pStyle w:val="Style21"/>
                    <w:spacing w:lineRule="auto" w:line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860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283" w:top="11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shd w:val="clear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qFormat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ind w:hanging="0" w:left="0" w:right="-15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pPr>
      <w:keepNext w:val="true"/>
      <w:spacing w:lineRule="auto" w:line="360"/>
      <w:ind w:hanging="0" w:left="0"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qFormat/>
    <w:pPr>
      <w:keepNext w:val="true"/>
      <w:ind w:firstLine="708" w:left="0" w:right="-15"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qFormat/>
    <w:pPr>
      <w:keepNext w:val="true"/>
      <w:jc w:val="center"/>
      <w:outlineLvl w:val="8"/>
    </w:pPr>
    <w:rPr>
      <w:rFonts w:ascii="Cambria" w:hAnsi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5">
    <w:name w:val="Верхний колонтитул Знак"/>
    <w:qFormat/>
    <w:rPr>
      <w:sz w:val="24"/>
      <w:szCs w:val="24"/>
    </w:rPr>
  </w:style>
  <w:style w:type="character" w:styleId="Style6">
    <w:name w:val="Нижний колонтитул Знак"/>
    <w:qFormat/>
    <w:rPr>
      <w:sz w:val="24"/>
      <w:szCs w:val="24"/>
    </w:rPr>
  </w:style>
  <w:style w:type="character" w:styleId="Style7">
    <w:name w:val="Текст Знак"/>
    <w:qFormat/>
    <w:rPr>
      <w:rFonts w:ascii="Courier New" w:hAnsi="Courier New" w:cs="Courier New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0">
    <w:name w:val="Заголовок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1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FontStyle54">
    <w:name w:val="Font Style54"/>
    <w:qFormat/>
    <w:rPr>
      <w:rFonts w:ascii="Times New Roman" w:hAnsi="Times New Roman"/>
      <w:b/>
      <w:sz w:val="16"/>
    </w:rPr>
  </w:style>
  <w:style w:type="character" w:styleId="apple-style-span">
    <w:name w:val="apple-style-span"/>
    <w:qFormat/>
    <w:rPr/>
  </w:style>
  <w:style w:type="character" w:styleId="FontStyle50">
    <w:name w:val="Font Style50"/>
    <w:qFormat/>
    <w:rPr>
      <w:rFonts w:ascii="Times New Roman" w:hAnsi="Times New Roman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3">
    <w:name w:val="Основной текст (2)_"/>
    <w:basedOn w:val="DefaultParagraphFont"/>
    <w:qFormat/>
    <w:rPr>
      <w:sz w:val="28"/>
      <w:szCs w:val="2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Style14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15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ejaVu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left="0" w:right="43"/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pPr>
      <w:ind w:hanging="0" w:left="720" w:right="0"/>
      <w:jc w:val="both"/>
    </w:pPr>
    <w:rPr/>
  </w:style>
  <w:style w:type="paragraph" w:styleId="BodyTextIndent2">
    <w:name w:val="Body Text Indent 2"/>
    <w:basedOn w:val="Normal"/>
    <w:qFormat/>
    <w:pPr>
      <w:ind w:firstLine="708" w:left="0" w:right="0"/>
      <w:jc w:val="both"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Indent3">
    <w:name w:val="Body Text Indent 3"/>
    <w:basedOn w:val="Normal"/>
    <w:qFormat/>
    <w:pPr>
      <w:ind w:firstLine="705" w:left="0" w:right="0"/>
      <w:jc w:val="both"/>
    </w:pPr>
    <w:rPr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Title">
    <w:name w:val="ConsTitle"/>
    <w:qFormat/>
    <w:pPr>
      <w:widowControl/>
      <w:suppressAutoHyphens w:val="true"/>
      <w:overflowPunct w:val="tru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overflowPunct w:val="tru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1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Style22">
    <w:name w:val="Прижатый влево"/>
    <w:basedOn w:val="Normal"/>
    <w:qFormat/>
    <w:pPr>
      <w:widowControl w:val="false"/>
    </w:pPr>
    <w:rPr>
      <w:rFonts w:ascii="Arial" w:hAnsi="Arial" w:cs="Arial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51">
    <w:name w:val="Style5"/>
    <w:basedOn w:val="Normal"/>
    <w:qFormat/>
    <w:pPr>
      <w:widowControl w:val="false"/>
      <w:spacing w:lineRule="exact" w:line="214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197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0" w:after="480"/>
      <w:jc w:val="both"/>
    </w:pPr>
    <w:rPr>
      <w:sz w:val="28"/>
      <w:szCs w:val="28"/>
    </w:rPr>
  </w:style>
  <w:style w:type="paragraph" w:styleId="user2">
    <w:name w:val="Заголовок списка (user)"/>
    <w:basedOn w:val="Normal"/>
    <w:qFormat/>
    <w:pPr>
      <w:ind w:hanging="0" w:left="0" w:right="0"/>
    </w:pPr>
    <w:rPr/>
  </w:style>
  <w:style w:type="paragraph" w:styleId="user3">
    <w:name w:val="Содержимое списка (user)"/>
    <w:basedOn w:val="Normal"/>
    <w:qFormat/>
    <w:pPr>
      <w:ind w:hanging="0" w:left="567" w:right="0"/>
    </w:pPr>
    <w:rPr/>
  </w:style>
  <w:style w:type="paragraph" w:styleId="Style23">
    <w:name w:val="Обычный (Интернет)"/>
    <w:basedOn w:val="Normal"/>
    <w:qFormat/>
    <w:pPr>
      <w:spacing w:before="280" w:after="280"/>
    </w:pPr>
    <w:rPr/>
  </w:style>
  <w:style w:type="paragraph" w:styleId="user4">
    <w:name w:val="Содержимое таблицы (user)"/>
    <w:basedOn w:val="Normal"/>
    <w:qFormat/>
    <w:pPr>
      <w:suppressLineNumbers/>
    </w:pPr>
    <w:rPr/>
  </w:style>
  <w:style w:type="paragraph" w:styleId="Style24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5">
    <w:name w:val="Абзац списка"/>
    <w:basedOn w:val="Normal"/>
    <w:qFormat/>
    <w:pPr>
      <w:ind w:hanging="0" w:left="708" w:right="0"/>
    </w:pPr>
    <w:rPr/>
  </w:style>
  <w:style w:type="paragraph" w:styleId="12">
    <w:name w:val="Указатель1"/>
    <w:basedOn w:val="Normal"/>
    <w:qFormat/>
    <w:pPr>
      <w:suppressLineNumbers/>
    </w:pPr>
    <w:rPr>
      <w:rFonts w:cs="DejaVu Sans;Times New Roman"/>
    </w:rPr>
  </w:style>
  <w:style w:type="paragraph" w:styleId="Style26">
    <w:name w:val="Название объекта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paragraph" w:styleId="25">
    <w:name w:val="Основной текст2"/>
    <w:basedOn w:val="Normal"/>
    <w:qFormat/>
    <w:pPr>
      <w:shd w:val="clear" w:color="auto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numbering" w:styleId="Style28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vestkurg@mail.ru" TargetMode="External"/><Relationship Id="rId3" Type="http://schemas.openxmlformats.org/officeDocument/2006/relationships/hyperlink" Target="http://www.investkurg@mail.ru" TargetMode="External"/><Relationship Id="rId4" Type="http://schemas.openxmlformats.org/officeDocument/2006/relationships/hyperlink" Target="http://www.investkurg@mail.ru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Application>LibreOffice/24.8.5.2$Linux_X86_64 LibreOffice_project/480$Build-2</Application>
  <AppVersion>15.0000</AppVersion>
  <Pages>5</Pages>
  <Words>1044</Words>
  <Characters>8217</Characters>
  <CharactersWithSpaces>10469</CharactersWithSpaces>
  <Paragraphs>53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2019-08-02T10:50:00Z</dcterms:created>
  <dc:creator>Юля</dc:creator>
  <dc:description/>
  <dc:language>ru-RU</dc:language>
  <cp:lastModifiedBy/>
  <cp:lastPrinted>2026-02-05T13:26:00Z</cp:lastPrinted>
  <dcterms:modified xsi:type="dcterms:W3CDTF">2026-02-05T13:35:12Z</dcterms:modified>
  <cp:revision>114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