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20" w:type="dxa"/>
        <w:jc w:val="left"/>
        <w:tblInd w:w="-12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920"/>
      </w:tblGrid>
      <w:tr>
        <w:trPr>
          <w:trHeight w:val="6180" w:hRule="atLeast"/>
        </w:trPr>
        <w:tc>
          <w:tcPr>
            <w:tcW w:w="9920" w:type="dxa"/>
            <w:tcBorders/>
          </w:tcPr>
          <w:tbl>
            <w:tblPr>
              <w:tblW w:w="10606" w:type="dxa"/>
              <w:jc w:val="left"/>
              <w:tblInd w:w="292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8642" w:type="dxa"/>
                    <w:jc w:val="left"/>
                    <w:tblInd w:w="2818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8642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8642" w:type="dxa"/>
                        <w:tcBorders/>
                      </w:tcPr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-170" w:right="-4876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 xml:space="preserve">  </w:t>
                        </w: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</w:t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район</w:t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Style27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Style27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20" w:hRule="atLeast"/>
        </w:trPr>
        <w:tc>
          <w:tcPr>
            <w:tcW w:w="992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постановления администрации МО Курганинский район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sz w:val="28"/>
                            <w:szCs w:val="28"/>
                            <w:shd w:fill="FFFFFF" w:val="clear"/>
                            <w:lang w:eastAsia="zh-CN"/>
                          </w:rPr>
                          <w:t>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ConsPlusNonformat"/>
              <w:widowControl w:val="false"/>
              <w:suppressAutoHyphens w:val="true"/>
              <w:overflowPunct w:val="false"/>
              <w:bidi w:val="0"/>
              <w:spacing w:before="0" w:after="0"/>
              <w:ind w:hanging="227" w:left="0" w:right="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23 апреля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постановления администрации МО Курганинский район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направленный для подготовки   настоящего заключения управлением имущественных отношений  администрации МО Курганинский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             и      сообщает      следующее.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    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В соответствии с Порядком проведения ОРВ проектов МПА администрации МО  Курганинский район,  устанавливающих    новые или изменяющих ранее            предусмотренные МПА обязательные требования для субъектов предпринимательской и    иной экономической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деятельности,        обязанности           для субъектов инвестиционной деятельности, утверждённым      постановлением</w:t>
            </w:r>
          </w:p>
          <w:p>
            <w:pPr>
              <w:pStyle w:val="ConsPlusNonformat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 МО   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 Порядок) проект подлежит проведению ОРВ.</w:t>
            </w:r>
          </w:p>
        </w:tc>
      </w:tr>
      <w:tr>
        <w:trPr>
          <w:trHeight w:val="11180" w:hRule="atLeast"/>
        </w:trPr>
        <w:tc>
          <w:tcPr>
            <w:tcW w:w="992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постановления администрации МО Курганинский район                          «Об утверждении административного регламента предоставления муниципальной услуги «Предоставление муниципального имущества                         в аренду или безвозмездное пользование без проведения торгов»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    потенциальные     адресаты    предполагаемого        правового 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 2025 г.  за предоставлением  МУ обратились 2  заявителя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</w:t>
            </w:r>
            <w:r>
              <w:rPr>
                <w:rStyle w:val="111"/>
                <w:sz w:val="28"/>
                <w:szCs w:val="28"/>
                <w:shd w:fill="FFFFFF" w:val="clear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объективно, установлены срок и индикатор ее достижения. Для варианта 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>предоставления МУ «</w:t>
            </w:r>
            <w:r>
              <w:rPr>
                <w:sz w:val="28"/>
                <w:szCs w:val="28"/>
                <w:shd w:fill="FFFFFF" w:val="clear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 xml:space="preserve">»: количество </w:t>
            </w:r>
            <w:r>
              <w:rPr>
                <w:sz w:val="28"/>
                <w:szCs w:val="28"/>
                <w:shd w:fill="FFFFFF" w:val="clear"/>
              </w:rPr>
              <w:t xml:space="preserve">договоров     аренды    муниципального  имущества, договоров безвозмездного пользования муниципального имущества, </w:t>
            </w:r>
            <w:r>
              <w:rPr>
                <w:rStyle w:val="FontStyle21"/>
                <w:sz w:val="28"/>
                <w:szCs w:val="28"/>
                <w:shd w:fill="FFFFFF" w:val="clear"/>
              </w:rPr>
              <w:t xml:space="preserve"> для варианта предоставления МУ «Исправление допущенных опечаток и ошибок в выданных в результате   предоставления   МУ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FontStyle21"/>
                <w:sz w:val="28"/>
                <w:szCs w:val="28"/>
                <w:shd w:fill="FFFFFF" w:val="clear"/>
              </w:rPr>
              <w:t>документах»: количество       документов,          выданных    по  результату ранее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FontStyle21"/>
                <w:sz w:val="28"/>
                <w:szCs w:val="28"/>
                <w:shd w:fill="FFFFFF" w:val="clear"/>
              </w:rPr>
              <w:t>предоставленной МУ, без опечаток и ошибок;      для варианта    предоставления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FontStyle21"/>
                <w:sz w:val="28"/>
                <w:szCs w:val="28"/>
                <w:shd w:fill="FFFFFF" w:val="clear"/>
              </w:rPr>
              <w:t>МУ  «Выдача   дубликата   документа,    выданного     по       результату      ранее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FontStyle21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FontStyle21"/>
                <w:sz w:val="28"/>
                <w:szCs w:val="28"/>
                <w:shd w:fill="FFFFFF" w:val="clear"/>
              </w:rPr>
              <w:t>предоставленной МУ»: количество дубликатов документов, выданных                    по результату ранее предоставленной МУ.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sz w:val="28"/>
                <w:szCs w:val="28"/>
              </w:rPr>
              <w:t xml:space="preserve">     </w:t>
            </w:r>
            <w:r>
              <w:rPr>
                <w:rStyle w:val="111"/>
                <w:sz w:val="28"/>
                <w:szCs w:val="28"/>
              </w:rPr>
              <w:t>- практическая     реализуемость      заявленных   целей    предпола</w:t>
            </w:r>
            <w:r>
              <w:rPr>
                <w:sz w:val="28"/>
                <w:szCs w:val="28"/>
              </w:rPr>
              <w:t>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и инвестиционной деятельности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- 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физические лица, индивидуальные предприниматели (далее - ИП), юридические лица, физические лица,                            не являющиеся ИП и применяющие специальный налоговый режим «Налог                  на профессиональный доход» - с которыми в соответствии с </w:t>
            </w:r>
            <w:hyperlink r:id="rId2">
              <w:r>
                <w:rPr>
                  <w:rStyle w:val="Style"/>
                  <w:rFonts w:eastAsia="Times New Roman" w:cs="Times New Roman"/>
                  <w:color w:val="000000"/>
                  <w:kern w:val="0"/>
                  <w:sz w:val="28"/>
                  <w:szCs w:val="28"/>
                  <w:shd w:fill="FFFFFF" w:val="clear"/>
                  <w:lang w:val="ru-RU" w:eastAsia="ru-RU" w:bidi="ar-SA"/>
                </w:rPr>
                <w:t>Федеральным законом</w:t>
              </w:r>
            </w:hyperlink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от 26 июля 2006 г. № 135-ФЗ «О защите конкуренции» может быть заключён договор аренды или безвозмездного пользования в отношении муниципального имущества без проведения торгов. От имени заявителя могут действовать представители, наделенные соответствующими полномочиями.                </w:t>
            </w:r>
            <w:r>
              <w:rPr>
                <w:rStyle w:val="111"/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В 2025 г. за предоставлением муниципальной услуги обратилось 2  заявителя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2.  Проблем</w:t>
            </w:r>
            <w:r>
              <w:rPr>
                <w:sz w:val="28"/>
                <w:szCs w:val="28"/>
              </w:rPr>
              <w:t>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административного регламента предоставления муниципальной услуги «</w:t>
                  </w:r>
                  <w:r>
                    <w:rPr>
                      <w:rStyle w:val="Style16"/>
                      <w:rFonts w:eastAsia="DejaVu Sans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муниципального имущества в аренду или безвозмездное пользование                       без проведения торгов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», 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  проблема   может    быть решена исключительно посредством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   в       целях  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муниципального имущества в аренду   или   безвозмездное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пользование без проведения торгов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 xml:space="preserve">»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                             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действующего законодательства.                                                                                                                                                        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   цели       соответствуют        принципам  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   Федерации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и     Краснодарского края.</w:t>
                  </w:r>
                </w:p>
              </w:tc>
            </w:tr>
          </w:tbl>
          <w:p>
            <w:pPr>
              <w:pStyle w:val="Normal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Проект   МПА     содержит     положения,     устанавливающие     новые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4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t>Р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иски  недостижения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>
                <w:rFonts w:ascii="Times New Roman CYR" w:hAnsi="Times New Roman CYR" w:cs="Times New Roman CYR"/>
                <w:color w:val="00000A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6. Дополнительные   расходы    бюджета    МО      Курганинский     район,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text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 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»   в расчете на одного заявителя                          в размере примерно </w:t>
            </w:r>
            <w:r>
              <w:rPr>
                <w:rStyle w:val="FontStyle21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1183,3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 руб. или </w:t>
            </w:r>
            <w:r>
              <w:rPr>
                <w:rStyle w:val="111"/>
                <w:rFonts w:eastAsia="Sylfaen" w:cs="Times New Roman"/>
                <w:b w:val="false"/>
                <w:bCs/>
                <w:i w:val="false"/>
                <w:iCs/>
                <w:sz w:val="28"/>
                <w:szCs w:val="28"/>
                <w:shd w:fill="auto" w:val="clear"/>
              </w:rPr>
              <w:t>2366,</w:t>
            </w:r>
            <w:r>
              <w:rPr>
                <w:rStyle w:val="111"/>
                <w:rFonts w:eastAsia="Sylfaen" w:cs="Times New Roman"/>
                <w:b w:val="false"/>
                <w:bCs/>
                <w:i w:val="false"/>
                <w:iCs/>
                <w:sz w:val="24"/>
                <w:szCs w:val="28"/>
                <w:shd w:fill="auto" w:val="clear"/>
              </w:rPr>
              <w:t xml:space="preserve"> 6</w:t>
            </w: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 xml:space="preserve"> руб. на 2 заявителей.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hanging="0" w:left="0" w:right="0"/>
              <w:jc w:val="both"/>
              <w:rPr>
                <w:color w:val="000000"/>
                <w:shd w:fill="auto" w:val="clear"/>
              </w:rPr>
            </w:pPr>
            <w:r>
              <w:rPr>
                <w:rStyle w:val="FontStyle21"/>
                <w:rFonts w:eastAsia="Sylfaen"/>
                <w:b w:val="false"/>
                <w:bCs/>
                <w:i w:val="false"/>
                <w:iCs/>
                <w:color w:val="000000"/>
                <w:spacing w:val="2"/>
                <w:sz w:val="28"/>
                <w:szCs w:val="28"/>
                <w:shd w:fill="auto" w:val="clear"/>
                <w:lang w:eastAsia="zh-CN"/>
              </w:rPr>
              <w:t>В соответствии с Методикой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 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муниципального имущества в аренду или безвозмездное пользование без проведения торгов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 число заявлений - 1 ед. или 2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         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eastAsia="Arial" w:cs="Times New Roman" w:ascii="Arial" w:hAnsi="Arial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за январь 2026 г. согласно данным органов статистики: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>60671,2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     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Средняя  стоимость часа работы: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>361,1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руб. (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>60671,2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ебования: 1183,3 руб. ((369,3*(1+1+1) +100) в расчете на 1 ед. или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2366, 6</w:t>
            </w:r>
            <w:r>
              <w:rPr>
                <w:rStyle w:val="FontStyle21"/>
                <w:rFonts w:eastAsia="Times New Roman" w:cs="Times New Roman"/>
                <w:b w:val="false"/>
                <w:bCs w:val="false"/>
                <w:i w:val="false"/>
                <w:iCs w:val="false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A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р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уб. на 2 заявителей.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</w:t>
            </w:r>
            <w:r>
              <w:rPr>
                <w:sz w:val="28"/>
                <w:szCs w:val="28"/>
              </w:rPr>
              <w:t xml:space="preserve">7. В соответствии с  Порядком  уполномоченный 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23 апреля по 7 мая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8. Информация о проводимых публичных консультациях была размещена  на официальном сайте администрации МО Курганинский район                            </w:t>
            </w:r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9. В период проведения публичных консультаций замечаний и предложений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в   проекте    МПА отсутствуют   положения, вводящие   избыточные    административные      обязанности,     запреты   и     ограничения                             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 xml:space="preserve">предпринимательской    и     иной     экономической   деятельности, обязанности  для субъектов инвестиционной деятельности                       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их введению,   оказывающих   негативное   влияние   на отрасли экономики   МО Курганинский   район,     способствующих возникновению   необоснованных       расходов  физических или   юридических лиц в сфере предпринимательской и иной экономической                                              и инвестиционной   деятельности, а  также 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 Разумеева                                              15 мая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92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920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92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8" w:hRule="atLeast"/>
        </w:trPr>
        <w:tc>
          <w:tcPr>
            <w:tcW w:w="992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4">
    <w:name w:val="Заголовок списка"/>
    <w:basedOn w:val="Normal"/>
    <w:qFormat/>
    <w:pPr>
      <w:ind w:hanging="0" w:left="0" w:right="0"/>
    </w:pPr>
    <w:rPr/>
  </w:style>
  <w:style w:type="paragraph" w:styleId="Style25">
    <w:name w:val="Содержимое списка"/>
    <w:basedOn w:val="Normal"/>
    <w:qFormat/>
    <w:pPr>
      <w:ind w:hanging="0" w:left="567" w:right="0"/>
    </w:pPr>
    <w:rPr/>
  </w:style>
  <w:style w:type="paragraph" w:styleId="Style26">
    <w:name w:val="Обычный (Интернет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30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12148517/0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Application>LibreOffice/24.8.7.2$Linux_X86_64 LibreOffice_project/480$Build-2</Application>
  <AppVersion>15.0000</AppVersion>
  <Pages>6</Pages>
  <Words>1299</Words>
  <Characters>10066</Characters>
  <CharactersWithSpaces>13016</CharactersWithSpaces>
  <Paragraphs>82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2026-05-15T10:11:10Z</cp:lastPrinted>
  <dcterms:modified xsi:type="dcterms:W3CDTF">2026-05-21T13:54:11Z</dcterms:modified>
  <cp:revision>156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