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327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60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8217" w:type="dxa"/>
                    <w:jc w:val="left"/>
                    <w:tblInd w:w="307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8217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8217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20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постановления администрации муниципального образования Курганинский район «О внесении изменения                    в постановление администрации муниципального образования Курганинский район от 27 декабря 2024 г. № 1324                          «Об утверждении административного регламента предоставления муниципальной услуги «</w:t>
                        </w:r>
                        <w:r>
                          <w:rPr>
                            <w:rStyle w:val="FontStyle21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Предоставление земельных участков, находящихся в государственной                        или муниципальной собственности, в постоянное (бессрочное) пользование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»»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  <w:t>.</w:t>
                        </w:r>
                      </w:p>
                      <w:p>
                        <w:pPr>
                          <w:pStyle w:val="ConsPlusNonformat"/>
                          <w:jc w:val="both"/>
                          <w:rPr>
                            <w:rStyle w:val="Style16"/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Cs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26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изменения в постановление администрации муниципального образования Курганинский район от 27 декабря 2024 г.                № 1324 «Об утверждении административного регламента предоставления муниципальной услуги «</w:t>
            </w:r>
            <w:r>
              <w:rPr>
                <w:rStyle w:val="FontStyle21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    направленный для     подготовки   настоящего заключения     управлением    имущественных отношений  администрации МО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Ку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рганинский        район  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(далее - разработчик)     и      сообщает      следующее.               </w:t>
            </w:r>
          </w:p>
          <w:p>
            <w:pPr>
              <w:pStyle w:val="ConsPlusNonformat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  <w:p>
            <w:pPr>
              <w:pStyle w:val="ConsPlusNonformat"/>
              <w:jc w:val="both"/>
              <w:rPr>
                <w:rStyle w:val="Style16"/>
                <w:rFonts w:ascii="Times New Roman" w:hAnsi="Times New Roman"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    обязательные     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4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изменения в постановление администрации муниципального образования Курганинский район от 27 декабря 2024 г. № 1324 «Об утверждении административного регламента предоставления муниципальной услуги «</w:t>
            </w:r>
            <w:r>
              <w:rPr>
                <w:rStyle w:val="FontStyle21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земельных участков, находящихся в государственной                        или муниципальной собственности, в постоянное (бессрочное) пользование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    потенциальные     адресаты    предполагаемого       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В  2025 г.  за предоставлением  МУ обратились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30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заявителей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объективно, установлены срок и индикатор ее достижения. </w:t>
            </w:r>
            <w:r>
              <w:rPr>
                <w:rStyle w:val="111"/>
                <w:sz w:val="28"/>
                <w:szCs w:val="28"/>
              </w:rPr>
              <w:t>Для варианта предоставления МУ«Предоставление земельных участков, находящихся                          в государс</w:t>
            </w: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>твенной или муниципальной собственности, в постоянное (бессрочное) пользование»: количество постановлений о предоставлении земельного участка в постоянное (бессрочное) пользование; для  варианта предоставления МУ «Исправление допущенных опечаток и ошибок                          в выданных в результате предоставления МУ документах»: количество документов, выданных по результату ранее предоставленной МУ,                         без опечаток и ошибок; для  варианта предоставления МУ «Выдача дубликата документа, выданного по результату ранее предоставленной МУ»: количество дубликатов документов, выданных по результату ранее предоставленной МУ.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sz w:val="28"/>
                <w:szCs w:val="28"/>
              </w:rPr>
              <w:t xml:space="preserve">       </w:t>
            </w:r>
            <w:r>
              <w:rPr>
                <w:rStyle w:val="111"/>
                <w:sz w:val="28"/>
                <w:szCs w:val="28"/>
              </w:rPr>
              <w:t>- практическая     реализуемость      заявленных   целей    предпола</w:t>
            </w:r>
            <w:r>
              <w:rPr>
                <w:sz w:val="28"/>
                <w:szCs w:val="28"/>
              </w:rPr>
              <w:t>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- г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осударственные и муниципальные учреждения (бюджетные, казённые, автономные); казённые предприятия; центры исторического наследия президентов Российской Федерации, прекративших исполнение своих полномочий; Банк России. От имени заявителя могут действовать представитель, наделенные соответствующими полномочиями.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2025 г. за предоставлением муниципальной услуги обратилось 30  заявителей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2.  Пробле</w:t>
            </w:r>
            <w:r>
              <w:rPr>
                <w:sz w:val="28"/>
                <w:szCs w:val="28"/>
              </w:rPr>
              <w:t>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    использования      действующего      административного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регламента предоставления муниципальной услуги «</w:t>
                  </w:r>
                  <w:r>
                    <w:rPr>
                      <w:rStyle w:val="FontStyle21"/>
                      <w:rFonts w:eastAsia="Sylfaen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», в связи                                 с его несоответствием действующему законодательству.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  проблема   может    быть решена исключительно посредством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   в       целях  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Заключение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FFFFFF" w:val="clear"/>
                      <w:lang w:val="ru-RU" w:eastAsia="zh-CN" w:bidi="ar-SA"/>
                    </w:rPr>
                    <w:t>соглашения о перераспределении земель и (или) земельных   участков,   находящихся     в государственной или муниципальной собственности,                                                                  и земельных участков, находящихся в частной собственности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 xml:space="preserve">»                                        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действующего законодательства.                                                                                                                                                        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   цели       соответствуют        принципам  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МУ.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>
                <w:rFonts w:ascii="Times New Roman CYR" w:hAnsi="Times New Roman CYR" w:cs="Times New Roman CYR"/>
                <w:color w:val="00000A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6. Дополнительные   расходы    бюджета    МО      Курганинский     район,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 «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Предоставление земельных участков, находящихся в государственной                   или муниципальной собственности, в постоянное (бессрочное) пользование»   в расчете на одного заявителя в размере примерно 1207,90 руб. или 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36237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 руб.                          на 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30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 заявителей.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>
                <w:color w:val="000000"/>
                <w:shd w:fill="auto" w:val="clear"/>
              </w:rPr>
            </w:pP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В соответствии с Методикой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 «</w:t>
            </w:r>
            <w:r>
              <w:rPr>
                <w:rStyle w:val="FontStyle21"/>
                <w:rFonts w:eastAsia="Sylfae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За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масштаб: число заявлений - 1 ед. или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30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DejaVu Sans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за 12 месяцев 2025 г. согласно данным органов статистики: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60671,2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1207,9 руб. ((369,3*(1+1+1) +100) в расчете              на 1 ед. или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Arial" w:cs="Times New Roman" w:eastAsiaTheme="minorHAnsi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36237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30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заявителей.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 </w:t>
            </w:r>
            <w:r>
              <w:rPr>
                <w:sz w:val="28"/>
                <w:szCs w:val="28"/>
              </w:rPr>
              <w:t>7. В соответствии с  Порядком  уполномоченный  орган провел публичные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26 </w:t>
            </w:r>
            <w:r>
              <w:rPr>
                <w:rFonts w:eastAsia="Times New Roman" w:cs="Times New Roman"/>
                <w:sz w:val="28"/>
                <w:szCs w:val="28"/>
              </w:rPr>
              <w:t>марта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по </w:t>
            </w:r>
            <w:r>
              <w:rPr>
                <w:rFonts w:eastAsia="Times New Roman" w:cs="Times New Roman"/>
                <w:sz w:val="28"/>
                <w:szCs w:val="28"/>
              </w:rPr>
              <w:t>8 апреля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     район,     способствующих возникновению   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предпринимательской и иной экономической иинвестиционной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Гализина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</w:t>
                  </w:r>
                  <w:r>
                    <w:rPr>
                      <w:sz w:val="28"/>
                      <w:szCs w:val="28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Application>LibreOffice/24.8.5.2$Linux_X86_64 LibreOffice_project/480$Build-2</Application>
  <AppVersion>15.0000</AppVersion>
  <Pages>6</Pages>
  <Words>1361</Words>
  <Characters>10736</Characters>
  <CharactersWithSpaces>13963</CharactersWithSpaces>
  <Paragraphs>88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2026-04-22T15:06:40Z</cp:lastPrinted>
  <dcterms:modified xsi:type="dcterms:W3CDTF">2026-04-22T15:10:08Z</dcterms:modified>
  <cp:revision>148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