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214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</w:tcPr>
          <w:tbl>
            <w:tblPr>
              <w:tblW w:w="10606" w:type="dxa"/>
              <w:jc w:val="left"/>
              <w:tblInd w:w="2279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7705" w:type="dxa"/>
                    <w:jc w:val="left"/>
                    <w:tblInd w:w="342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705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7705" w:type="dxa"/>
                        <w:tcBorders/>
                      </w:tcPr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 xml:space="preserve">Начальнику </w:t>
                        </w: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отдела жилищно-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 xml:space="preserve">коммунального хозяйства, 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транспорта и связи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администрации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муниципального образования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Курганинский  район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Г.Б. Кошелеву</w:t>
                        </w:r>
                      </w:p>
                    </w:tc>
                  </w:tr>
                </w:tbl>
                <w:p>
                  <w:pPr>
                    <w:pStyle w:val="user5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170" w:hRule="atLeast"/>
        </w:trPr>
        <w:tc>
          <w:tcPr>
            <w:tcW w:w="9860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>Проекта  постановления администрации муниципального образования Курганинский район «Об установлении Порядка предоставления дубликата свидетельств об осуществлении перевозок по муниципальным пригородным маршрутам регулярных перевозок и дубликата карт таких маршрутов на территории муниципального образования Курганинский район»</w:t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как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МО Курганинский район, рассмотрел поступивший                                                                          19 июня 2026 года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«Об установлении Порядка предоставления дубликата свидетельств об осуществлении перевозок по муниципальным пригородным маршрутам регулярных перевозок и дубликата карт таких маршрутов на территории муниципального образования Курганинский район»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,  направленный  для   подготовки  настоящего заключения отделом жилищно-коммунального хозяйства, транспорта и связи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администрации  муниципального образования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 район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               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предусмотренные            МПА          обязательные          требования                              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10536" w:hRule="atLeast"/>
        </w:trPr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постановления администрации муниципального образования Курганинский район «Об установлении Порядка предоставления дубликата свидетельств об осуществлении перевозок по муниципальным пригородным маршрутам регулярных перевозок и дубликата карт таких маршрутов                      на территории муниципального образования Курганинский район»</w:t>
            </w:r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- определены потенциальные адресаты предполагаемого правового регулирования. Юр</w:t>
            </w:r>
            <w:r>
              <w:rPr>
                <w:rStyle w:val="FontStyle2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идические лица, индивидуальные предприниматели                          и уполномоченные участники договора простого товарищества, осуществляющие перевозку пассажиров и багажа по муниципальным маршрутам  регулярных  перевозок на  территории  МО  Курганинский  район;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- цель предлагаемого правового регулирования разработчиком определена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объективно;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- практическая      реализуемость     заявленных      целей   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-  сроки достижения заявленной цели - с даты утверждения и вступления                 в силу рассматриваемого Проекта МПА</w:t>
            </w:r>
            <w:r>
              <w:rPr>
                <w:rStyle w:val="111"/>
                <w:sz w:val="28"/>
                <w:szCs w:val="28"/>
              </w:rPr>
              <w:t>, в мониторинге достижения цели               не нуждается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- оценка 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В соответствии с   Порядком установлено следующее: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1. Потенциальные    группы    участников    общественных     отношений, интересы  которых    могут   быть   затронуты   правовым регулированием                   в части прав   и   обязанностей    субъектов    предпринимательской                             и инвестицион</w:t>
            </w:r>
            <w:r>
              <w:rPr>
                <w:sz w:val="28"/>
                <w:szCs w:val="28"/>
                <w:shd w:fill="auto" w:val="clear"/>
              </w:rPr>
              <w:t>ной деятельнос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ти </w:t>
            </w:r>
            <w:r>
              <w:rPr>
                <w:sz w:val="28"/>
                <w:szCs w:val="28"/>
                <w:shd w:fill="auto" w:val="clear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юр</w:t>
            </w:r>
            <w:r>
              <w:rPr>
                <w:rStyle w:val="FontStyle21"/>
                <w:rFonts w:eastAsia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идические лица, индивидуальные предприниматели и уполномоченные участники договора простого товарищества, осуществляющие перевозку пассажиров и багажа                               по муниципальным маршрутам  регулярных  перевозок на  территории                   МО  Курганинский  район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4825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Style16"/>
                      <w:rFonts w:eastAsia="DejaVu Sans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нецелесообразность использования действующего  Порядка предоставления дубликата свидетельств об осуществлении перевозок по муниципальным пригородным маршрутам регулярных перевозок и дубликата карт таких маршрутов на территории муниципального образования Курганинский район, в связи с его несоответствием действующему законодательству.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Проект   разработан в  целях   </w:t>
                  </w:r>
                  <w:bookmarkStart w:id="0" w:name="__DdeLink__1326_4233123480"/>
                  <w:bookmarkEnd w:id="0"/>
                  <w:r>
                    <w:rPr>
                      <w:rStyle w:val="Style16"/>
                      <w:sz w:val="28"/>
                      <w:szCs w:val="28"/>
                    </w:rPr>
                    <w:t xml:space="preserve"> предоставления дубликата свидетельств об осуществлении перевозок по муниципальным пригородным маршрутам регулярных перевозок и дубликата карт таких маршрутов                     на территории МО Курганинский район в соответствии с действующим законодательством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1" w:name="_Hlk1212346144"/>
            <w:bookmarkEnd w:id="1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Проект М</w:t>
            </w: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 содержит положения, устанавливающие новые обязательные требования для субъектов предпринимательской и иной экономич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еской деятельности, обязанности для субъектов инвестиционной деятельности</w:t>
            </w:r>
            <w:r>
              <w:rPr>
                <w:rStyle w:val="Style16"/>
                <w:rFonts w:eastAsia="DejaVu Sans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5. Риски  недостижения   целей     правового регулирования, а  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также</w:t>
            </w:r>
            <w:r>
              <w:rPr>
                <w:sz w:val="28"/>
                <w:szCs w:val="28"/>
                <w:shd w:fill="auto" w:val="clear"/>
              </w:rPr>
              <w:t xml:space="preserve">        возможные    </w:t>
            </w:r>
            <w:r>
              <w:rPr>
                <w:sz w:val="28"/>
                <w:szCs w:val="28"/>
              </w:rPr>
              <w:t xml:space="preserve">негативные       последствия от введения правового регулирования для экономического развития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МО</w:t>
            </w:r>
            <w:r>
              <w:rPr>
                <w:sz w:val="28"/>
                <w:szCs w:val="28"/>
              </w:rPr>
              <w:t xml:space="preserve"> Курганинский район </w:t>
            </w: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center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4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</w:t>
            </w:r>
            <w:r>
              <w:rPr>
                <w:rFonts w:eastAsia="DejaVu Sans" w:cs="Times New Roman CYR" w:ascii="Times New Roman CYR" w:hAnsi="Times New Roman CYR"/>
                <w:color w:val="00000A"/>
                <w:sz w:val="28"/>
                <w:szCs w:val="28"/>
              </w:rPr>
              <w:t>Дополнительные расходы местного бюджета (бюджета муниципального образования Курганинский район), связанные с введением предлагаемого правового регулирования, не предполагаются.</w:t>
            </w:r>
          </w:p>
          <w:p>
            <w:pPr>
              <w:pStyle w:val="Normal"/>
              <w:ind w:firstLine="709"/>
              <w:jc w:val="both"/>
              <w:rPr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Дополнительные расходы потенциальных адресатов предлагаемого правового регулирования, связанные с введением предлагаемого регулирования, предполагаются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в виде информационных издержек, связанных с трудозатратами на подачу заявления о выдаче дубликата свидетельства                    и (или) дубликата карты маршрута в расчете на одного заявителя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в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размере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примерно 1238,4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 руб.  в расчете на 1 заявителя.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 и представление информации (документов, сведений) в соответствии                         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ConsPlusNonformat"/>
              <w:ind w:firstLine="720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издержек на подготовку и представление запроса и документов: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название требования: информационные издержки, связанные                          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информационный элемент: подача з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 xml:space="preserve">аявления </w:t>
            </w:r>
            <w:r>
              <w:rPr>
                <w:rFonts w:eastAsia="Sylfaen" w:cs="Times New Roman"/>
                <w:bCs/>
                <w:color w:themeColor="dark1" w:val="000000"/>
                <w:sz w:val="28"/>
                <w:szCs w:val="28"/>
                <w:shd w:fill="auto" w:val="clear"/>
                <w:lang w:eastAsia="ru-RU"/>
              </w:rPr>
              <w:t>заявления о выдаче дубликата свидетельства и (или) дубликата карты маршрута</w:t>
            </w:r>
            <w:r>
              <w:rPr>
                <w:rStyle w:val="FontStyle21"/>
                <w:color w:val="000000"/>
                <w:sz w:val="28"/>
                <w:szCs w:val="28"/>
                <w:shd w:fill="auto" w:val="clear"/>
              </w:rPr>
              <w:t>»;</w:t>
            </w:r>
          </w:p>
          <w:p>
            <w:pPr>
              <w:pStyle w:val="Normal"/>
              <w:spacing w:lineRule="auto" w:line="240" w:before="0" w:after="0"/>
              <w:ind w:firstLine="56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ab/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масштаб: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число заявлений - 1 ед.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частота представления: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1 ед.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Действия: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Написание любого документа низкого уровня сложности (менее 5 стр. печатного текста) - 1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Копирование документов – 1 ,00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Подача заявления – 1 чел./час.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приобретение расходных материалов;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содержательное;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Список приобретений: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firstLine="72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Среднемесячная заработная плата работников крупных и средних организаций МО Курганинский район  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за январь-март 2026 г. согласно данным органов статистики: 63748,9 руб.</w:t>
            </w:r>
          </w:p>
          <w:p>
            <w:pPr>
              <w:pStyle w:val="25"/>
              <w:widowControl w:val="false"/>
              <w:shd w:val="clear" w:fill="auto"/>
              <w:suppressAutoHyphens w:val="true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ab/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Средняя  стоимость часа работы: 379,5 руб. (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63748,9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руб./21 день/8ч)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Стоимость требования: 1238,4 руб. ((379,5*(1+1+1) +100) в расчете на 1 ед.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1</w:t>
            </w:r>
            <w:r>
              <w:rPr>
                <w:rFonts w:eastAsia="Times New Roman" w:cs="Times New Roman"/>
                <w:sz w:val="28"/>
                <w:szCs w:val="28"/>
              </w:rPr>
              <w:t>9 июня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по </w:t>
            </w: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ию</w:t>
            </w:r>
            <w:r>
              <w:rPr>
                <w:rFonts w:eastAsia="Times New Roman" w:cs="Times New Roman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sz w:val="28"/>
                <w:szCs w:val="28"/>
              </w:rPr>
              <w:t>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5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   </w:t>
            </w:r>
            <w:r>
              <w:rPr>
                <w:sz w:val="28"/>
                <w:szCs w:val="28"/>
                <w:shd w:fill="auto" w:val="clear"/>
              </w:rPr>
              <w:t xml:space="preserve">9. В период проведения публичных консультаций замечаний </w:t>
            </w:r>
            <w:r>
              <w:rPr>
                <w:sz w:val="28"/>
                <w:szCs w:val="28"/>
              </w:rPr>
              <w:t xml:space="preserve">                                  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филиала союза «Торгово-промышленная палата Краснодарского края»   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предпринимателей в Краснодарском крае   Буракова В.В.,  ИП, Председателя Совета депутатов Курганинского городского поселения Курганинского района Плетнева Л.Е., ИП Кудрявцевой Е.А., ИП Разина В.Ю., ИП Липового А.В.,                  с которыми заключены соглашения о взаимодействии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 и     ограничения  для 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>субъектов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rFonts w:cs="Times New Roman"/>
                <w:b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предпринимательской    и     иной     экономической   деятельности, обязанности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  способствующих                              их введению, оказывающих негативное влияние на отрасли экономики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Курганинский      район,     способствующих возникновению   необоснованных       расходов  физических или   юридических лиц          в сфере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предпринимательской и иной экономической и инвестиционной деятельности,                  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 xml:space="preserve">Е.В. Разумеева                                  </w:t>
                  </w:r>
                  <w:r>
                    <w:rPr>
                      <w:sz w:val="28"/>
                      <w:szCs w:val="28"/>
                    </w:rPr>
                    <w:t>9</w:t>
                  </w:r>
                  <w:r>
                    <w:rPr>
                      <w:sz w:val="28"/>
                      <w:szCs w:val="28"/>
                    </w:rPr>
                    <w:t xml:space="preserve"> ию</w:t>
                  </w:r>
                  <w:r>
                    <w:rPr>
                      <w:sz w:val="28"/>
                      <w:szCs w:val="28"/>
                    </w:rPr>
                    <w:t>л</w:t>
                  </w:r>
                  <w:r>
                    <w:rPr>
                      <w:sz w:val="28"/>
                      <w:szCs w:val="28"/>
                    </w:rPr>
                    <w:t>я 2026 г.         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2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Style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6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ejaVu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2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3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user3">
    <w:name w:val="Заголовок списка (user)"/>
    <w:basedOn w:val="Normal"/>
    <w:qFormat/>
    <w:pPr>
      <w:ind w:hanging="0" w:left="0" w:right="0"/>
    </w:pPr>
    <w:rPr/>
  </w:style>
  <w:style w:type="paragraph" w:styleId="user4">
    <w:name w:val="Содержимое списка (user)"/>
    <w:basedOn w:val="Normal"/>
    <w:qFormat/>
    <w:pPr>
      <w:ind w:hanging="0" w:left="567" w:right="0"/>
    </w:pPr>
    <w:rPr/>
  </w:style>
  <w:style w:type="paragraph" w:styleId="Style24">
    <w:name w:val="Обычный (Интернет)"/>
    <w:basedOn w:val="Normal"/>
    <w:qFormat/>
    <w:pPr>
      <w:spacing w:before="280" w:after="280"/>
    </w:pPr>
    <w:rPr/>
  </w:style>
  <w:style w:type="paragraph" w:styleId="user5">
    <w:name w:val="Содержимое таблицы (user)"/>
    <w:basedOn w:val="Normal"/>
    <w:qFormat/>
    <w:pPr>
      <w:suppressLineNumbers/>
    </w:pPr>
    <w:rPr/>
  </w:style>
  <w:style w:type="paragraph" w:styleId="Style25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6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7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user6">
    <w:name w:val="Заголовок таблицы (user)"/>
    <w:basedOn w:val="user5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numbering" w:styleId="Style29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Application>LibreOffice/24.8.7.2$Linux_X86_64 LibreOffice_project/480$Build-2</Application>
  <AppVersion>15.0000</AppVersion>
  <Pages>5</Pages>
  <Words>1206</Words>
  <Characters>9523</Characters>
  <CharactersWithSpaces>12002</CharactersWithSpaces>
  <Paragraphs>83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2026-07-15T16:21:11Z</cp:lastPrinted>
  <dcterms:modified xsi:type="dcterms:W3CDTF">2026-07-15T16:21:25Z</dcterms:modified>
  <cp:revision>132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