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2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38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456" w:type="dxa"/>
                    <w:jc w:val="left"/>
                    <w:tblInd w:w="3729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 xml:space="preserve">образования Курганинский 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район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Style26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проекта постановления администрации муниципального образования Курганинский ра</w:t>
                        </w:r>
                        <w:r>
                          <w:rPr>
                            <w:rStyle w:val="Style16"/>
                            <w:rFonts w:cs="Times New Roman" w:ascii="Times New Roman" w:hAnsi="Times New Roman"/>
                            <w:bCs/>
                            <w:sz w:val="28"/>
                            <w:szCs w:val="28"/>
                          </w:rPr>
                          <w:t xml:space="preserve">йон «О внесении изменений                      в постановление администрации муниципального образования Курганинский район от 5 сентября 2024 г. № 871                               </w:t>
                        </w:r>
                        <w:r>
                          <w:rPr>
                            <w:rFonts w:cs="Times New Roman" w:ascii="Times New Roman" w:hAnsi="Times New Roman"/>
                            <w:bCs/>
                            <w:sz w:val="28"/>
                            <w:szCs w:val="28"/>
                          </w:rPr>
                          <w:t xml:space="preserve">«Об утверждении административного регламента предоставления муниципальной услуги </w:t>
                        </w:r>
                        <w:r>
                          <w:rPr>
                            <w:rStyle w:val="Style16"/>
                            <w:rFonts w:cs="Times New Roman" w:ascii="Times New Roman" w:hAnsi="Times New Roman"/>
                            <w:bCs/>
                            <w:sz w:val="28"/>
                            <w:szCs w:val="28"/>
                          </w:rPr>
                          <w:t>«</w:t>
                        </w:r>
                        <w:r>
                          <w:rPr>
                            <w:rStyle w:val="FontStyle21"/>
                            <w:rFonts w:cs="Times New Roman" w:ascii="Times New Roman" w:hAnsi="Times New Roman"/>
                            <w:bCs/>
                            <w:sz w:val="28"/>
                            <w:szCs w:val="28"/>
                          </w:rPr>
                          <w:t>Предварительное согласование предоставления земельного участка</w:t>
                        </w:r>
                        <w:r>
                          <w:rPr>
                            <w:rStyle w:val="Style16"/>
                            <w:rFonts w:cs="Times New Roman" w:ascii="Times New Roman" w:hAnsi="Times New Roman"/>
                            <w:bCs/>
                            <w:sz w:val="28"/>
                            <w:szCs w:val="28"/>
                          </w:rPr>
                          <w:t>».</w:t>
                        </w:r>
                      </w:p>
                      <w:p>
                        <w:pPr>
                          <w:pStyle w:val="ConsPlusNonformat"/>
                          <w:jc w:val="both"/>
                          <w:rPr>
                            <w:rStyle w:val="Style16"/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/>
                        </w:r>
                      </w:p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sz w:val="28"/>
                            <w:szCs w:val="28"/>
                            <w:shd w:fill="FFFFFF" w:val="clear"/>
                            <w:lang w:eastAsia="zh-CN"/>
                          </w:rPr>
                        </w:pPr>
                        <w:r>
                          <w:rPr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sz w:val="28"/>
                            <w:szCs w:val="28"/>
                            <w:shd w:fill="FFFFFF" w:val="clear"/>
                            <w:lang w:eastAsia="zh-CN"/>
                          </w:rPr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                                    как 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Курганинский район, рассмотрел поступивший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13 марта 2026 года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О внесении изменений в постановление администрации муниципального образования Курганинский район                         от 5 сентября 2024 г. № 871 «Об утверждении административного регламента предоставления муниципальной услуги 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(далее - МУ)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«</w:t>
            </w:r>
            <w:r>
              <w:rPr>
                <w:rStyle w:val="FontStyle21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Предварительное согласование предоставления земельного участка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                        для   подготовки  настоящего заключения управлением имущественных отношений  администрации МО       Курганинский       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        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предусмотренные            МПА          обязательные         требования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40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 xml:space="preserve">постановления администрации МО Курганинский район 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О внесении изменений в постановление администрации муниципального образования Курганинский район от 5 сентября 2024 г. № 871 «Об утверждении административного регламента предоставления муниципальной услуги «</w:t>
            </w:r>
            <w:r>
              <w:rPr>
                <w:rStyle w:val="FontStyle21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Предварительное согласование предоставления земельного участка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определены потенциальные адресаты предполагаемого правового регулирования.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В 2025 г. за предоставлением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МУ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обратил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ись 11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заявител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ей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Style w:val="11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Style w:val="11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- цель предлагаемого правового регулирования разработчиком определена объективно, установлены срок и индикатор ее достижения. Для цели обращения </w:t>
            </w:r>
            <w:r>
              <w:rPr>
                <w:rStyle w:val="FontStyle2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«Предварительное согласование предоставления земельного участка»: количество постановлений о предварительном согласовании предоставления земельного участка.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 xml:space="preserve">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>3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практическая     реализуемость      заявленных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Порядком установлено следующее: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 xml:space="preserve">1. Потенциальные    группы    участников    общественных     отношений, интересы  которых    могут   быть   затронуты   правовым регулированием                     в части прав   и   обязанностей    субъектов    предпринимательской                              и инвестиционной деятельности - </w:t>
            </w:r>
            <w:r>
              <w:rPr>
                <w:sz w:val="28"/>
                <w:szCs w:val="28"/>
                <w:shd w:fill="FFFFFF" w:val="clear"/>
              </w:rPr>
              <w:t>ф</w:t>
            </w:r>
            <w:r>
              <w:rPr>
                <w:rStyle w:val="FontStyle21"/>
                <w:sz w:val="28"/>
                <w:szCs w:val="28"/>
                <w:shd w:fill="FFFFFF" w:val="clear"/>
              </w:rPr>
              <w:t xml:space="preserve">изические лица, </w:t>
            </w:r>
            <w:r>
              <w:rPr>
                <w:rStyle w:val="FontStyle21"/>
                <w:sz w:val="28"/>
                <w:szCs w:val="28"/>
                <w:shd w:fill="FFFFFF" w:val="clear"/>
              </w:rPr>
              <w:t>индивидуальные предприниматели (далее - ИП)</w:t>
            </w:r>
            <w:r>
              <w:rPr>
                <w:rStyle w:val="FontStyle21"/>
                <w:sz w:val="28"/>
                <w:szCs w:val="28"/>
                <w:shd w:fill="FFFFFF" w:val="clear"/>
              </w:rPr>
              <w:t xml:space="preserve">, юридические лица. От имени заявителя могут действовать представители, наделенные соответствующими полномочиями.                   </w:t>
            </w: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rStyle w:val="111"/>
                <w:sz w:val="28"/>
                <w:szCs w:val="28"/>
                <w:shd w:fill="FFFFFF" w:val="clear"/>
              </w:rPr>
              <w:t>В 2025 г. за предоставлением муниципальной услуги обратилось                            11  заявителей</w:t>
            </w:r>
            <w:r>
              <w:rPr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2.  Пробле</w:t>
            </w:r>
            <w:r>
              <w:rPr>
                <w:sz w:val="28"/>
                <w:szCs w:val="28"/>
              </w:rPr>
              <w:t>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30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ецелесообразность     использования      действующего      административного </w:t>
                  </w:r>
                </w:p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регламента предоставления муниципальной услуги «Предварительное согласование предоставления земельного участка», в связи с его несоответствием действующему законодательству.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Указанная   проблема   может    быть решена исключительно посредством 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принятия предложенного документа.     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целях 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предоставления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МУ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</w:t>
                  </w:r>
                  <w:r>
                    <w:rPr>
                      <w:rStyle w:val="111"/>
                      <w:rFonts w:eastAsia="DejaVu Sans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«</w:t>
                  </w:r>
                  <w:r>
                    <w:rPr>
                      <w:rStyle w:val="FontStyle21"/>
                      <w:rFonts w:eastAsia="DejaVu Sans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FFFFFF" w:val="clear"/>
                      <w:lang w:val="ru-RU" w:eastAsia="zh-CN" w:bidi="ar-SA"/>
                    </w:rPr>
                    <w:t>Предварительное согласование предоставления земельного участка</w:t>
                  </w:r>
                  <w:r>
                    <w:rPr>
                      <w:rStyle w:val="Style16"/>
                      <w:rFonts w:eastAsia="Sylfaen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»</w:t>
                  </w:r>
                  <w:r>
                    <w:rPr>
                      <w:rStyle w:val="111"/>
                      <w:rFonts w:eastAsia="Times New Roman" w:cs="Times New Roman"/>
                      <w:b w:val="false"/>
                      <w:bCs/>
                      <w:i w:val="false"/>
                      <w:iCs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</w:t>
                  </w: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в соответствие  требованиям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действующего законодательства.                                                                                                                                                                   </w:t>
                  </w:r>
                  <w:r>
                    <w:rPr>
                      <w:rStyle w:val="111"/>
                      <w:rFonts w:eastAsia="DejaVu Sans"/>
                      <w:sz w:val="28"/>
                      <w:shd w:fill="auto" w:val="clear"/>
                    </w:rPr>
                    <w:t>Вышеуказанные          цели       соответствуют        принципам         правового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регулирования, установленным законодательством Российской Федерации                        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 xml:space="preserve"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изменен перечень оснований для отказа в предоставлении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МУ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111"/>
                <w:rFonts w:eastAsia="DejaVu Sans"/>
                <w:sz w:val="28"/>
                <w:szCs w:val="28"/>
                <w:shd w:fill="auto" w:val="clear"/>
              </w:rPr>
              <w:t>Возможные  риски  не  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6. Дополнительные   расходы    бюджета    МО      Курганинский     район,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center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4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 xml:space="preserve"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Дополнительные расходы потенциальных адресатов предлагаемого правового регулирования,                            по мнению разработчика, предполагаются в виде информационных издержек, связанных с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трудозатратами на подачу заявления для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предоставления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МУ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«</w:t>
            </w:r>
            <w:r>
              <w:rPr>
                <w:rStyle w:val="FontStyle21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Предварительное     согласование         предоставления  земельного   участк</w:t>
            </w:r>
            <w:r>
              <w:rPr>
                <w:rStyle w:val="FontStyle21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а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»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                       в расчете на одного заявителя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в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размере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примерно 1207,90 руб.                                   или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111"/>
                <w:rFonts w:eastAsia="Calibri" w:cs="Times New Roman" w:eastAsiaTheme="minorHAnsi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13286,9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руб. на 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1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1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заявите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лей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 и представление информации (документов, сведений) в соответствии     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аявления о предоставлении 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МУ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 xml:space="preserve"> «</w:t>
            </w:r>
            <w:r>
              <w:rPr>
                <w:rStyle w:val="FontStyle21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Предварительное согласование предоставления земельного участка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масштаб: число заявлений - 1 ед. или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1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1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ед.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 1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cs="Times New Roman"/>
                <w:bCs/>
                <w:sz w:val="28"/>
                <w:szCs w:val="28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 любого   документа   низкого   уровня сложности   (менее 5 стр.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за 12 месяцев 2025 г. согласно данным органов статистики: 62042,30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ab/>
              <w:t>Средняя  стоимость часа работы: 369,3 руб. (62042,30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С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тоимость тр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ебования: 1207,9 руб. ((369,3*(1+1+1) +100) в расчете              на 1 ед. или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 xml:space="preserve"> </w:t>
            </w:r>
            <w:r>
              <w:rPr>
                <w:rStyle w:val="111"/>
                <w:rFonts w:eastAsia="Calibri" w:cs="Times New Roman" w:eastAsiaTheme="minorHAnsi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13286,9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руб. на 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1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1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заявител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ей.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   </w:t>
            </w:r>
            <w:r>
              <w:rPr>
                <w:sz w:val="28"/>
                <w:szCs w:val="28"/>
              </w:rPr>
              <w:t>7. В соответствии с  Порядком  уполномоченный  орган провел публичные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13 по 26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марта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                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 xml:space="preserve">предпринимательской    и     иной     экономической   деятельности, обязанности 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     район,     способствующих возникновению   необоснованных       расходов  физических или   юридических лиц          в сфере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предпринимательской и иной экономической иинвестиционной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Е.В. Разумеева                                         2 апреля 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Style23">
    <w:name w:val="Заголовок списка"/>
    <w:basedOn w:val="Normal"/>
    <w:qFormat/>
    <w:pPr>
      <w:ind w:hanging="0" w:left="0" w:right="0"/>
    </w:pPr>
    <w:rPr/>
  </w:style>
  <w:style w:type="paragraph" w:styleId="Style24">
    <w:name w:val="Содержимое списка"/>
    <w:basedOn w:val="Normal"/>
    <w:qFormat/>
    <w:pPr>
      <w:ind w:hanging="0" w:left="567" w:right="0"/>
    </w:pPr>
    <w:rPr/>
  </w:style>
  <w:style w:type="paragraph" w:styleId="Style25">
    <w:name w:val="Обычный (Интернет)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Style30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31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Application>LibreOffice/24.8.5.2$Linux_X86_64 LibreOffice_project/480$Build-2</Application>
  <AppVersion>15.0000</AppVersion>
  <Pages>5</Pages>
  <Words>1214</Words>
  <Characters>9579</Characters>
  <CharactersWithSpaces>12501</CharactersWithSpaces>
  <Paragraphs>84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2026-03-26T10:28:07Z</cp:lastPrinted>
  <dcterms:modified xsi:type="dcterms:W3CDTF">2026-03-26T10:33:15Z</dcterms:modified>
  <cp:revision>139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