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2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67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20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«О внесении изменений         в постановление администрации муниципального образования Курганинский район от 12 декабря 2024 г.                                    № 1260  «Об утверждении административного регламента  предоставления муниципальной услуги  «</w:t>
                        </w:r>
                        <w:r>
                          <w:rPr>
                            <w:rStyle w:val="FontStyle21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 w:eastAsiaTheme="minorEastAsia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».</w:t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13 марта 2026 года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                        от 12 декабря 2024 г. № 1260  «Об утверждении административного регламента  предоставления муниципальной услуги (далее - МУ) «</w:t>
            </w:r>
            <w:r>
              <w:rPr>
                <w:rStyle w:val="FontStyle21"/>
                <w:rFonts w:eastAsia="DejaVu Sans" w:cs="Times New Roman" w:ascii="Times New Roman" w:hAnsi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, направленный                        для подготовки  настоящего  заключения   управлением              имущественных</w:t>
            </w:r>
          </w:p>
          <w:p>
            <w:pPr>
              <w:pStyle w:val="ConsPlusNonformat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отношений 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—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      МПА      обязательные    требования                         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изменений         в постановление администрации муниципального образования Курганинский район от 12 декабря 2024 г. № 1260  «Об утверждении административного регламента  предоставления муниципальной услуги  «</w:t>
            </w:r>
            <w:r>
              <w:rPr>
                <w:rStyle w:val="FontStyle21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   потенциальные     адресаты    предполагаемого  правового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регулирования.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В 2025 г. за предоставлением МУ обратились 6  заявителей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цель предлагаемого правового регулирования разработчиком определена объективно, установлены срок и индикатор ее достижения. Для цели обращения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bidi="ar-SA"/>
              </w:rPr>
              <w:t>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строительства»:</w:t>
            </w:r>
            <w:r>
              <w:rPr>
                <w:rStyle w:val="111"/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Style w:val="FontStyle21"/>
                <w:rFonts w:eastAsia="Times New Roman" w:cs="Times New Roman"/>
                <w:color w:val="000000"/>
                <w:kern w:val="0"/>
                <w:sz w:val="28"/>
                <w:szCs w:val="28"/>
                <w:lang w:bidi="ar-SA"/>
              </w:rPr>
              <w:t>количество выданных договоров аренды земельного участка</w:t>
            </w:r>
            <w:r>
              <w:rPr>
                <w:rStyle w:val="111"/>
                <w:rFonts w:eastAsia="Times New Roman" w:cs="Times New Roman"/>
                <w:kern w:val="0"/>
                <w:sz w:val="28"/>
                <w:szCs w:val="28"/>
                <w:lang w:bidi="ar-SA"/>
              </w:rPr>
              <w:t xml:space="preserve"> - 100 %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(без учета отказов в предоставлении МУ); для цели обращения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bidi="ar-SA"/>
              </w:rPr>
              <w:t xml:space="preserve"> «Исправление допущенных опечаток и ошибок в выданных в результате предоставления МУ документах»: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shd w:fill="FFFFFF" w:val="clear"/>
                <w:lang w:bidi="ar-SA"/>
              </w:rPr>
              <w:t xml:space="preserve"> количество документов, выданных                       по результату ранее предоставленной МУ, без опечаток; для цели обращения </w:t>
            </w:r>
            <w:r>
              <w:rPr>
                <w:rStyle w:val="111"/>
                <w:rFonts w:eastAsia="Times New Roman" w:cs="Times New Roman"/>
                <w:b w:val="false"/>
                <w:bCs w:val="false"/>
                <w:i w:val="false"/>
                <w:iCs w:val="false"/>
                <w:kern w:val="0"/>
                <w:sz w:val="28"/>
                <w:szCs w:val="28"/>
                <w:lang w:bidi="ar-SA"/>
              </w:rPr>
              <w:t>«Выдача дубликата документа, выданного по результату ранее предоставленной МУ»: количество дубликатов документов, выданных                      по результату ранее предоставленной МУ.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</w:rPr>
              <w:t>- сроки достижения заявленной цели - с даты вступ</w:t>
            </w:r>
            <w:r>
              <w:rPr>
                <w:sz w:val="28"/>
                <w:szCs w:val="28"/>
              </w:rPr>
              <w:t>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1. Потенциальные    группы    участников    общественных     отношений, интересы  которых    могут   быть   затронуты   правовым регулированием                     в части прав   и   обязанностей    субъектов    предпринимательской                              и инвестиционной деятельности - потенциальной группой участников общественных отношений, интересы которых будут затронуты предлагаемым правовым регулированием, являются </w:t>
            </w:r>
            <w:r>
              <w:rPr>
                <w:rStyle w:val="FontStyle21"/>
                <w:sz w:val="28"/>
                <w:szCs w:val="28"/>
              </w:rPr>
              <w:t>физические лица, индивидуальные предприниматели (далее - ИП), юридические лица, либо их уполномоченные представители, действующие в соответствии с полномочиями, подтверждаемыми в установленном законом порядке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Style w:val="111"/>
                <w:sz w:val="28"/>
                <w:szCs w:val="28"/>
              </w:rPr>
              <w:t>В 2025 г.                                   за предоставлением МУ обратились 6  заявителей</w:t>
            </w:r>
            <w:r>
              <w:rPr>
                <w:sz w:val="28"/>
                <w:szCs w:val="28"/>
              </w:rPr>
              <w:t>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30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нецелесообразность использования действующего административного регламента предоставления МУ «</w:t>
                  </w:r>
                  <w:r>
                    <w:rPr>
                      <w:rStyle w:val="FontStyle21"/>
                      <w:rFonts w:eastAsia="DejaVu Sans" w:cs="Times New Roman" w:ascii="Times New Roman" w:hAnsi="Times New Roman" w:eastAsiaTheme="minorEastAsia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           строительства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»,               в         связи            с            его</w:t>
                  </w:r>
                </w:p>
                <w:p>
                  <w:pPr>
                    <w:pStyle w:val="ConsPlusNonformat"/>
                    <w:ind w:hanging="0"/>
                    <w:jc w:val="center"/>
                    <w:rPr/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4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целях  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предоставления МУ </w:t>
                  </w:r>
                  <w:r>
                    <w:rPr>
                      <w:rStyle w:val="111"/>
                      <w:rFonts w:eastAsia="DejaVu Sans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«</w:t>
                  </w:r>
                  <w:r>
                    <w:rPr>
                      <w:rStyle w:val="FontStyle21"/>
                      <w:rFonts w:eastAsia="DejaVu Sans" w:cs="Times New Roman" w:eastAsiaTheme="minorEastAsia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Предоставление                    в аренду без проведения торгов земельного участка, который находится                                   в государственной или муниципальной собственности, на котором расположен объект незавершенного строительства</w:t>
                  </w:r>
                  <w:r>
                    <w:rPr>
                      <w:rStyle w:val="Style16"/>
                      <w:rFonts w:eastAsia="Sylfae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»</w:t>
                  </w:r>
                  <w:r>
                    <w:rPr>
                      <w:rStyle w:val="111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   </w:t>
                  </w:r>
                  <w:r>
                    <w:rPr>
                      <w:rStyle w:val="111"/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 xml:space="preserve">в соответствие  требованиям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действующего законодательства.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 xml:space="preserve">           </w:t>
                  </w:r>
                  <w:r>
                    <w:rPr>
                      <w:rStyle w:val="111"/>
                      <w:rFonts w:eastAsia="DejaVu Sans"/>
                      <w:sz w:val="28"/>
                      <w:shd w:fill="auto" w:val="clear"/>
                    </w:rPr>
                    <w:t>Вышеуказанные       цели    соответствуют     принципам       правового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изменен перечень оснований для отказа в предоставлении МУ.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 xml:space="preserve"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Дополнительные расходы потенциальных адресатов предлагаемого правового регулирования,                            по мнению разработчика, предполагаются в виде информационных издержек, связанных с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трудозатратами на подачу заявления для 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предоставления МУ «</w:t>
            </w:r>
            <w:r>
              <w:rPr>
                <w:rStyle w:val="FontStyle21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  <w:r>
              <w:rPr>
                <w:rFonts w:eastAsia="Sylfaen"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»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в расчете на одного заявителя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в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themeColor="dark1" w:val="000000"/>
                <w:sz w:val="28"/>
                <w:szCs w:val="28"/>
                <w:shd w:fill="FFFFFF" w:val="clear"/>
              </w:rPr>
              <w:t xml:space="preserve"> размере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примерно 1207,90 руб. или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7247,4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руб. на 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6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 заявителей.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 и представление информации (документов, сведений) в соответствии     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                         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   элемент:        подача        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       о     предоставлении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МУ «</w:t>
            </w:r>
            <w:r>
              <w:rPr>
                <w:rStyle w:val="FontStyle21"/>
                <w:rFonts w:eastAsia="DejaVu Sans" w:cs="Times New Roman" w:eastAsiaTheme="minorEastAsia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Предоставление в аренду без проведения торгов земельного участка, который находится в государственной или муниципальной собственности,                на котором расположен объект незавершенного строительства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масштаб: число заявлений - 1 ед. или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6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 1 ед.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 любого   документа   низкого   уровня сложности   (менее 5 стр.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rFonts w:ascii="Arial" w:hAnsi="Arial" w:eastAsia="Arial" w:cs="DejaVu Sans"/>
                <w:color w:val="000000"/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МО Курганинский район  </w:t>
            </w: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>за 12 месяцев 2025 г. согласно данным органов статистики: 62042,30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bidi w:val="0"/>
              <w:spacing w:lineRule="auto" w:line="240" w:before="0" w:after="0"/>
              <w:ind w:hanging="0"/>
              <w:jc w:val="both"/>
              <w:rPr/>
            </w:pPr>
            <w:r>
              <w:rPr>
                <w:rStyle w:val="111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bidi="ar-SA"/>
              </w:rPr>
              <w:tab/>
              <w:t>Средняя  стоимость часа работы: 369,3 руб. (62042,30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FFFFFF" w:val="clear"/>
              </w:rPr>
              <w:t>Стоимость тр</w:t>
            </w:r>
            <w:r>
              <w:rPr>
                <w:rFonts w:eastAsia="Arial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ебования: 1207,9 руб. ((369,3*(1+1+1) +100) в расчете              на 1 ед. или </w:t>
            </w:r>
            <w:r>
              <w:rPr>
                <w:rFonts w:eastAsia="Arial" w:cs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7247,4</w:t>
            </w:r>
            <w:r>
              <w:rPr>
                <w:rFonts w:eastAsia="Arial" w:cs="Times New Roman"/>
                <w:b w:val="false"/>
                <w:bCs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руб. на 6 заявителей.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13 по 26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9. В период проведения публичных консультаций замечаний и предложе-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ний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предпринимателей в Краснодарском крае   Буракова В.В.,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                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 способствующих                              их введению, оказывающих негативное влияние на отрасли экономики                    МО Курганинский                район,              способствующих        возникновению  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необоснованных       расходов  физических или   юридических лиц          в сфере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>предпринимательской и иной экономической и инвестиционной деятельности,                 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Е.В. Разумеева                                         2 апреля 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Application>LibreOffice/24.8.5.2$Linux_X86_64 LibreOffice_project/480$Build-2</Application>
  <AppVersion>15.0000</AppVersion>
  <Pages>6</Pages>
  <Words>1412</Words>
  <Characters>10954</Characters>
  <CharactersWithSpaces>13977</CharactersWithSpaces>
  <Paragraphs>83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2026-03-24T16:51:59Z</cp:lastPrinted>
  <dcterms:modified xsi:type="dcterms:W3CDTF">2026-03-25T16:46:57Z</dcterms:modified>
  <cp:revision>139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