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2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67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«О внесении изменений                       в постановление администрации муниципального образования Курганинский район от 5 сентября 2024 г. № 872                            «Об утверждении административного регламента предоставления муниципальной услуги «</w:t>
                        </w:r>
                        <w:r>
                          <w:rPr>
                            <w:rStyle w:val="FontStyle21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Предоставление земельных участков, находящихся в государственной                       или муниципальной собственности, на торгах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»</w:t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«О</w:t>
            </w:r>
            <w:r>
              <w:rPr>
                <w:rStyle w:val="Style16"/>
                <w:rFonts w:eastAsia="DejaVu Sans" w:cs="Times New Roman" w:ascii="Times New Roman" w:hAnsi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внесении изменений в постановление администрации муниципального образования Курганинский район                          от 5 сентября 2024 г. № 872 «Об утверждении административного регламента предоставления муниципальной услуги «</w:t>
            </w:r>
            <w:r>
              <w:rPr>
                <w:rStyle w:val="FontStyle21"/>
                <w:rFonts w:eastAsia="DejaVu Sans" w:cs="Times New Roman" w:ascii="Times New Roman" w:hAnsi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в государственной или муниципальной собственности,                         на торгах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обязательные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от 5 сентября 2024 г. № 872 «Об утверждении административного регламента предоставления муниципальной услуги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в государственной                       или муниципальной собственности, на торгах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адресаты предполагаемого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2025 г. за предоставлением муниципальной услуги обратились 105  заявителей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цель предлагаемого правового регулирования разработчиком определена объективно, установлены срок и индикатор ее достижения. Для цели обращения       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«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Предоставление       земельных         участков,       находящихся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>в государственной или муниципальной собственности, на торгах»: количество выданных договоров купли-продажи земельного участка; договоров аренды земельного участка - 100 %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(без учета отказов в предоставлении муниципальной услуги). Для цели обращения</w:t>
            </w:r>
            <w:r>
              <w:rPr>
                <w:rStyle w:val="111"/>
                <w:sz w:val="28"/>
                <w:szCs w:val="28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>«Исправление допущенных опечаток и ошибок в выданных в результате предоставления муниципальной услуги документах»: количество документов, выданных по результату ранее предоставленной муниципальной услуги, без опечаток.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- потенциальной группой участников общественных отношений, интересы которых будут затронуты предлагаемым правовым регулированием, являются </w:t>
            </w:r>
            <w:r>
              <w:rPr>
                <w:rStyle w:val="FontStyle21"/>
                <w:sz w:val="28"/>
                <w:szCs w:val="28"/>
              </w:rPr>
              <w:t>физические лица, индивидуальные предприниматели, юридические лица, либо их уполномоченные представители, действующие в соответствии с полномочиями, подтверждаемыми                                 в установленном законом порядке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Style w:val="111"/>
                <w:sz w:val="28"/>
                <w:szCs w:val="28"/>
              </w:rPr>
              <w:t>В 2025 г. за предоставлением муниципальной услуги обратились 105  заявителей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firstLine="708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административного регламента предоставления муниципальной услуги «</w:t>
                  </w:r>
                  <w:r>
                    <w:rPr>
                      <w:rStyle w:val="FontStyle21"/>
                      <w:rFonts w:eastAsia="DejaVu Sans" w:cs="Times New Roman" w:ascii="Times New Roman" w:hAnsi="Times New Roman" w:eastAsiaTheme="minorEastAsia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земельных участков, находящихся в государственной или муниципальной собственности, на торгах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муниципальной услуги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FontStyle21"/>
                      <w:rFonts w:eastAsia="DejaVu Sans" w:cs="Times New Roman" w:eastAsiaTheme="minorEastAsia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земельных участков, находящихся в государственной                       или муниципальной собственности, на торгах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»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 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в соответствие  требованиям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действующего законодательства.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 xml:space="preserve">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цели    соответствуют     принципам       правового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муниципальной услуги.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муниципальной услуги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                      в государственной или муниципальной собственности, на торгах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в расчете             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                                                                   1207,90 руб.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126829,5 руб. на 105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муниципальной услуги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                      в государственной или муниципальной собственности, на торгах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 число заявлений - 1 ед. или 105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12 месяцев 2025 г. согласно данным органов статистики: 62042,30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1207,9 руб. ((369,3*(1+1+1) +100) в расчете              на 1 ед. или 126829,5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105 заявителей.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13 по 26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индивидуального предпринимателя (далее - ИП), Председателя Совета депутатов Курганинского городского поселения Курганинского района Плетнева Л.Е.,                                     ИП Кудрявцевой Е.А., ИП Разина В.Ю., ИП Липового А.В.,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    2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Application>LibreOffice/24.8.5.2$Linux_X86_64 LibreOffice_project/480$Build-2</Application>
  <AppVersion>15.0000</AppVersion>
  <Pages>6</Pages>
  <Words>1323</Words>
  <Characters>10431</Characters>
  <CharactersWithSpaces>13356</CharactersWithSpaces>
  <Paragraphs>82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2026-03-24T16:00:09Z</cp:lastPrinted>
  <dcterms:modified xsi:type="dcterms:W3CDTF">2026-03-25T16:31:18Z</dcterms:modified>
  <cp:revision>136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