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управление имущественных отношений администрации муниципального образования (далее - МО) Курганинский район.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проект постановления администрации муниципального образования               Курганинский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район 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«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 внесении изменений в постановление администрации муниципального образования Курганинский район от 11 октября 2024 г.                     № 1003 «Об утверждении административного регламента предоставления муниципальной услуги  «</w:t>
      </w:r>
      <w:r>
        <w:rPr>
          <w:rStyle w:val="FontStyle21"/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Заключение соглашения о перераспределении земель и (или) земельных участков, находящихся в государственной                                     или муниципальной собственности, и земельных участков, находящихся                         в частной собственности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»»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(далее –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апрель 2026 г.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hanging="0"/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регламента предоставления муниципальной услуги (далее - МУ)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                             и земельных участков, находящихся в частной собственности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»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,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законодательству.</w:t>
      </w:r>
    </w:p>
    <w:p>
      <w:pPr>
        <w:pStyle w:val="ConsPlusNonformat"/>
        <w:widowControl w:val="false"/>
        <w:numPr>
          <w:ilvl w:val="1"/>
          <w:numId w:val="2"/>
        </w:numPr>
        <w:suppressAutoHyphens w:val="true"/>
        <w:bidi w:val="0"/>
        <w:spacing w:before="0" w:after="0"/>
        <w:ind w:hanging="0" w:left="57" w:right="0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Краткое описание целей предлагаемого правового регулирования:</w:t>
      </w:r>
    </w:p>
    <w:p>
      <w:pPr>
        <w:pStyle w:val="ConsPlusNonformat"/>
        <w:ind w:hanging="0"/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администрацией МО Курганинский район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                             и земельных участков, находящихся в частной собственности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Style w:val="111"/>
          <w:rFonts w:cs="Times New Roman" w:ascii="Times New Roman" w:hAnsi="Times New Roman"/>
          <w:sz w:val="28"/>
          <w:szCs w:val="28"/>
          <w:shd w:fill="auto" w:val="clear"/>
        </w:rPr>
        <w:t>в соответствии                                     с   требованиями действующего законодательства.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1.6. Краткое описание содержания предлагаемого правового регулирования:</w:t>
      </w:r>
    </w:p>
    <w:p>
      <w:pPr>
        <w:pStyle w:val="ConsPlusNonformat"/>
        <w:ind w:hanging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содержит положения, приводящие административный регламент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Заключение соглашения               о перераспределении земель и (или) земельных участков, находящихся                        в государственной или муниципальной собственности, и земельных участков, находящихся в частной собственности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 в соответствие требованиям действующего законодательства.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6.1.  Степень регулирующего воздействия – высокая.   </w:t>
      </w:r>
    </w:p>
    <w:p>
      <w:pPr>
        <w:pStyle w:val="Normal"/>
        <w:shd w:val="clear" w:fill="FFFFFF"/>
        <w:spacing w:lineRule="auto" w:line="240" w:before="0" w:after="0"/>
        <w:ind w:firstLine="567" w:right="0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pacing w:lineRule="auto" w:line="24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                  предпринимательской и иной экономической деятельности, оценка соблюдения которых осуществляется в рамках муниципальной услуги (далее - обязательные требования):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нет.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Ф.И.О. – Лукьяненко Елена Владимировна. 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Должность: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начальник управления имущественных отношений администрации муниципального образования Курганинский 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kurg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_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@mail.ru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                регламента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                собственности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законодательству.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Федеральным законом от 30 января 2026 г. № 12-ФЗ в ст. 39.28 и ст. 39.29 Земельного кодекса Российской Федерации внесены изменения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. Изменены основания для отказа в предоставлении МУ.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направлено на приведение административного регламента в соответствие действующему законодательству.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4 марта 2026 г. администрацией МО Курганинский район получен протест прокуратуры Курганинского района 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постановлени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е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администрации муниципального образования Курганинский район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«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 внесении изменений                      в постановление администрации муниципального образования Курганинский район от 11 октября 2024 г. № 1003 «Об утверждении административного регламента предоставления муниципальной услуги 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Заключение соглашения               о перераспределении земель и (или) земельных участков, находящихся                         в государственной или муниципальной собственности, и земельных участков, находящихся в частной собственности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 Субъекты общественных отношени</w:t>
      </w:r>
      <w:r>
        <w:rPr>
          <w:rFonts w:cs="Times New Roman" w:ascii="Times New Roman" w:hAnsi="Times New Roman"/>
          <w:sz w:val="28"/>
          <w:szCs w:val="28"/>
        </w:rPr>
        <w:t>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физические лица, индивидуальные предприниматели (далее - ИП), юридические лица -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собственники земельных участков, которые предполагается перераспределить с землей и (или) земельными участками, находящимися                    в государственной или муниципальной собственности. От имени заявителя могут действовать представители, наделенные соответству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ю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щими полномочиями.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 тем, в 2025 г.                                 за предоставлением МУ обратились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29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Характеристика негативных эффектов, возникающих в связи                         с наличием проблемы, их количественная оценка: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негативные эффекты заключаются в невозможности корректного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Заключение соглашения о перераспределении земель                и (или) земельных участков, находящихся в государственной                                     или муниципальной собственности, и земельных участков, находящихся                         в частной собственности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»</w:t>
      </w:r>
      <w:r>
        <w:rPr>
          <w:rFonts w:eastAsia="Sylfaen" w:cs="Times New Roman" w:ascii="Times New Roman" w:hAnsi="Times New Roman"/>
          <w:sz w:val="28"/>
          <w:szCs w:val="28"/>
          <w:shd w:fill="auto" w:val="clear"/>
        </w:rPr>
        <w:t xml:space="preserve">. </w:t>
      </w:r>
      <w:r>
        <w:rPr>
          <w:rFonts w:eastAsia="Sylfae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ее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существование: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проблема выявлена при получении протеста прокуратуры Курганинского района от 4 марта 2026 г. 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постановлени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е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администрации муниципального образования Курганинский район от 11 октября 2024 г. № 1003                               «Об утверждении административного регламента предоставления муниципальной услуги 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Заключение соглашения о перераспределении земель и (или) земельных участков, находящихся в государственной                                     ли муниципальной собственности, и земельных участков, находящихся                        в частной собственности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»»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в ходе разработки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000000"/>
          <w:kern w:val="0"/>
          <w:sz w:val="28"/>
          <w:szCs w:val="28"/>
          <w:shd w:fill="auto" w:val="clear"/>
          <w:lang w:val="ru-RU" w:eastAsia="en-US" w:bidi="ar-SA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отсутствует.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Предоставление администрацией МО Курганинский район МУ «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                              и земельных участков, находящихся в частной собственности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 xml:space="preserve">» </w:t>
            </w:r>
            <w:r>
              <w:rPr>
                <w:rStyle w:val="11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в соответствии                                     с   требованиями действующего законодательства.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С даты вступления в силу настоящего Постановления.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- Земельный Кодекс  Российской Федерации;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-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- 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6"/>
        <w:gridCol w:w="3683"/>
        <w:gridCol w:w="1000"/>
        <w:gridCol w:w="1352"/>
      </w:tblGrid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администрацией МО Курганинский район МУ «Заключение соглашения                      о перераспределении земель                   и (или) земельных участков,                   находящихся в государственной или муниципальной собственности, и земельных участков, находящихся в частной собственности» в соответствии                                     с   требованиями действующего законодательства.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1) для варианта предоставления МУ«</w:t>
            </w:r>
            <w:r>
              <w:rPr>
                <w:rStyle w:val="FontStyle21"/>
                <w:color w:val="000000"/>
                <w:sz w:val="24"/>
                <w:szCs w:val="24"/>
                <w:shd w:fill="auto" w:val="clear"/>
              </w:rPr>
              <w:t>Заключение соглашения                      о перераспределении земель                   и (или) земельных участков,                   нахо</w:t>
            </w:r>
            <w:r>
              <w:rPr>
                <w:rStyle w:val="FontStyle21"/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дящихся в государственной или муниципальной собственности, и земельных участков, находящихся в частной собственности»: количество соглашений                   о перераспределении земель                   и (или) земельных </w:t>
            </w:r>
            <w:r>
              <w:rPr>
                <w:rStyle w:val="FontStyle21"/>
                <w:color w:val="000000"/>
                <w:sz w:val="24"/>
                <w:szCs w:val="24"/>
                <w:shd w:fill="auto" w:val="clear"/>
              </w:rPr>
              <w:t>участков,                  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2) для  варианта предоставления МУ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«Исправление допущенных опечаток и ошибок в выданных в результате предоставления МУ документах»: количество документов, выданных по результату ранее предоставленной МУ, без опечаток и ошибок.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3) для  варианта предоставления МУ «Выдача дубликата документа, выданного по результату ранее предоставленной МУ»: количество дубликатов документов, выданных по результату ранее предоставленной МУ.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2026 г. (далее-ежегодно) - 100% (без учета отказов                 в предоставлении муниципальной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3.9.  Методы, расчета индикаторов достижения целей предлагаемого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правового регулирования, источники информации для расчетов:</w:t>
      </w:r>
    </w:p>
    <w:p>
      <w:pPr>
        <w:pStyle w:val="Normal"/>
        <w:spacing w:before="0" w:after="0"/>
        <w:ind w:hanging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  <w:shd w:fill="auto" w:val="clear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количество, выданных документов/количество поступивших заявлений)*100%.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kern w:val="0"/>
          <w:sz w:val="28"/>
          <w:szCs w:val="28"/>
          <w:shd w:fill="auto" w:val="clear"/>
          <w:lang w:val="ru-RU" w:eastAsia="en-US" w:bidi="ar-SA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1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spacing w:lineRule="auto" w:line="240"/>
              <w:ind w:hanging="0"/>
              <w:rPr/>
            </w:pPr>
            <w:r>
              <w:rPr>
                <w:rStyle w:val="FontStyle21"/>
                <w:rFonts w:eastAsiaTheme="minorEastAsia"/>
                <w:color w:val="000000"/>
                <w:sz w:val="24"/>
                <w:szCs w:val="24"/>
                <w:shd w:fill="auto" w:val="clear"/>
              </w:rPr>
              <w:t xml:space="preserve">физические лица, </w:t>
            </w:r>
            <w:r>
              <w:rPr>
                <w:rStyle w:val="FontStyle21"/>
                <w:rFonts w:eastAsiaTheme="minorEastAsia"/>
                <w:color w:val="000000"/>
                <w:sz w:val="24"/>
                <w:szCs w:val="24"/>
                <w:shd w:fill="auto" w:val="clear"/>
              </w:rPr>
              <w:t>ИП</w:t>
            </w:r>
            <w:r>
              <w:rPr>
                <w:rStyle w:val="FontStyle21"/>
                <w:rFonts w:eastAsiaTheme="minorEastAsia"/>
                <w:color w:val="000000"/>
                <w:sz w:val="24"/>
                <w:szCs w:val="24"/>
                <w:shd w:fill="auto" w:val="clear"/>
              </w:rPr>
              <w:t>, юридические лица - собственники земельных участков, которые предполагается перераспределить               с землей и (или) земельными участками, находящимися                    в государственной или муниципальной собственнос</w:t>
            </w:r>
            <w:r>
              <w:rPr>
                <w:rStyle w:val="FontStyle21"/>
                <w:rFonts w:eastAsia="" w:eastAsiaTheme="minorEastAsia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ти. От имени заявителя могут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FontStyle21"/>
                <w:rFonts w:eastAsia="" w:eastAsiaTheme="minorEastAsia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действовать представители, наделенные соответствующими полномочиями.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lineRule="auto" w:line="240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Услуга имеет заявительный характер. В 2025 г. за предоставлением МУ обратились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29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  заявителей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Данные управления имущественных отношений администрации МО Курганинский район, как органа, уполномоченного на предоставление МУ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34"/>
      <w:bookmarkEnd w:id="6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6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МУ «</w:t>
            </w:r>
            <w:r>
              <w:rPr>
                <w:rStyle w:val="FontStyle21"/>
                <w:color w:val="000000"/>
                <w:sz w:val="24"/>
                <w:szCs w:val="24"/>
              </w:rPr>
              <w:t>Заключение соглашения                      о перераспределении земель                   и (или) земельных участков,                  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документов и (или) информации, необходимых для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межведомственное информационное взаимодействие;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приостановление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 предоставлении (об отказе в предоставлении)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64"/>
      <w:bookmarkEnd w:id="8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00"/>
      <w:bookmarkEnd w:id="9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Заявителями в соответствии с административным регламентом являются </w:t>
            </w:r>
            <w:r>
              <w:rPr>
                <w:rStyle w:val="FontStyle21"/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физические лица, </w:t>
            </w:r>
            <w:r>
              <w:rPr>
                <w:rStyle w:val="FontStyle21"/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ИП</w:t>
            </w:r>
            <w:r>
              <w:rPr>
                <w:rStyle w:val="FontStyle21"/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, юридические лица - собственники земельных участков, которые предполагается перераспределить               с землей и (или) земельными участками, находящимися                    в государственной или муниципальной собственности. От имени заявителя могут действовать представители, наделенные соответствующими полномочиями.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МУ является подача заявителем заявления о предоставлении МУ.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0,001 на одного заявителя или 0,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035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на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29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заявителей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аявления о предоставлении муниципальной услу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ги «</w:t>
      </w:r>
      <w:r>
        <w:rPr>
          <w:rStyle w:val="FontStyle21"/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</w:t>
      </w:r>
      <w:r>
        <w:rPr>
          <w:rStyle w:val="FontStyle21"/>
          <w:rFonts w:eastAsia=""/>
          <w:color w:val="000000"/>
          <w:kern w:val="0"/>
          <w:sz w:val="28"/>
          <w:szCs w:val="28"/>
          <w:shd w:fill="auto" w:val="clear"/>
          <w:lang w:val="ru-RU" w:eastAsia="ru-RU" w:bidi="ar-SA"/>
        </w:rPr>
        <w:t>ся в частной собственности;</w:t>
      </w:r>
    </w:p>
    <w:p>
      <w:pPr>
        <w:pStyle w:val="Normal"/>
        <w:spacing w:lineRule="auto" w:line="240" w:before="0" w:after="0"/>
        <w:ind w:firstLine="56"/>
        <w:jc w:val="both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число заявлений - 1 ед.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или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29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единиц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Список приобретений: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>за 12 месяцев 2025 г. согласно данным органов статистики: 62042,3 руб.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        </w:t>
      </w:r>
    </w:p>
    <w:p>
      <w:pPr>
        <w:pStyle w:val="22"/>
        <w:widowControl w:val="false"/>
        <w:shd w:val="clear" w:color="auto" w:fill="auto"/>
        <w:suppressAutoHyphens w:val="true"/>
        <w:bidi w:val="0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ab/>
        <w:t>Средняя  стоимость часа работы: 369,3 руб. (62042,3руб./21 день/8ч)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Стоимость тр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ебования: 1207,9 руб. ((369,3*(1+1+1) +100) в расчете              на 1 ед. или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35029,1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руб. на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29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10" w:name="Par429"/>
      <w:bookmarkEnd w:id="10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2"/>
        <w:gridCol w:w="3676"/>
        <w:gridCol w:w="1648"/>
        <w:gridCol w:w="2661"/>
      </w:tblGrid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1" w:name="Par447"/>
      <w:bookmarkStart w:id="12" w:name="Par447"/>
      <w:bookmarkEnd w:id="1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86"/>
        <w:gridCol w:w="2844"/>
        <w:gridCol w:w="2551"/>
      </w:tblGrid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Заявителями являются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bCs/>
                <w:color w:val="000000"/>
                <w:sz w:val="24"/>
                <w:szCs w:val="24"/>
                <w:shd w:fill="auto" w:val="clear"/>
              </w:rPr>
              <w:t>физические лица, ИП, юридические лица, либо их уполномоченные представители, действующие                           в соответствии с полномочиями, подтверждаемыми в установленном законом порядке.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Услуга имеет заявительный характер. В 2025 г. за предоставлением муниципальной услуги обратились 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29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Ориентировочно расходы, связанные                        с введением предлагаемого правового регулирования составят </w:t>
            </w:r>
            <w:bookmarkStart w:id="13" w:name="__DdeLink__6270_2259152162_Копия_1"/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1</w:t>
            </w:r>
            <w:bookmarkEnd w:id="13"/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207,9 руб в расчете на одного заявителя, или </w:t>
            </w: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35029,1</w:t>
            </w: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 руб. в расчете на группу адресатов предлагаемого правового регулирования                       (</w:t>
            </w: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29</w:t>
            </w: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 заявителей)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достигнуты не будут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8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8"/>
                <w:shd w:fill="auto" w:val="clear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административный регламент предоставления муниципальной услуги </w:t>
      </w:r>
      <w:r>
        <w:rPr>
          <w:rStyle w:val="111"/>
          <w:rFonts w:cs="Times New Roman" w:ascii="Times New Roman" w:hAnsi="Times New Roman"/>
          <w:sz w:val="28"/>
          <w:szCs w:val="28"/>
        </w:rPr>
        <w:t>в соответствие 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апрель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Курганинский район                                                   Е.В. Лукьяненко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>
    <w:name w:val="Цветовое выделение для Текст"/>
    <w:qFormat/>
    <w:rPr>
      <w:sz w:val="24"/>
    </w:rPr>
  </w:style>
  <w:style w:type="character" w:styleId="32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2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3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19C-6CC0-4E1A-B26E-ADBD702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LibreOffice/24.8.5.2$Linux_X86_64 LibreOffice_project/480$Build-2</Application>
  <AppVersion>15.0000</AppVersion>
  <Pages>10</Pages>
  <Words>2249</Words>
  <Characters>18106</Characters>
  <CharactersWithSpaces>21592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2026-02-09T08:09:00Z</dcterms:created>
  <dc:creator>User</dc:creator>
  <dc:description/>
  <dc:language>ru-RU</dc:language>
  <cp:lastModifiedBy/>
  <cp:lastPrinted>2026-02-25T14:29:21Z</cp:lastPrinted>
  <dcterms:modified xsi:type="dcterms:W3CDTF">2026-03-19T16:47:27Z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