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управление архитектуры и градостроительства </w:t>
      </w:r>
      <w:bookmarkStart w:id="1" w:name="_Hlk230860581"/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муниципального образования Курганинский район</w:t>
      </w:r>
      <w:bookmarkEnd w:id="1"/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проект постановления администрации муниципального образования Курганинский район </w:t>
      </w: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 «Предоставление разрешения                     на условно разрешенный вид использования земельного участка или  объекта капитального строительства» (далее – Проект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Проекта МПА: </w:t>
      </w:r>
    </w:p>
    <w:p>
      <w:pPr>
        <w:pStyle w:val="ConsPlusNonformat"/>
        <w:tabs>
          <w:tab w:val="clear" w:pos="708"/>
          <w:tab w:val="left" w:pos="1134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июль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2026 г.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firstLine="709"/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 xml:space="preserve">нецелесообразность использования действующего административного регламента по предоставлению администрацией муниципального образования Курганинский район (далее – Администрация) </w:t>
      </w:r>
      <w:bookmarkStart w:id="2" w:name="_Hlk230867300"/>
      <w:r>
        <w:rPr>
          <w:rFonts w:eastAsia="Sylfaen" w:cs="Times New Roman" w:ascii="Times New Roman" w:hAnsi="Times New Roman"/>
          <w:color w:val="000000"/>
          <w:sz w:val="28"/>
          <w:szCs w:val="28"/>
        </w:rPr>
        <w:t>муниципальной услуги</w:t>
      </w:r>
      <w:bookmarkEnd w:id="2"/>
      <w:r>
        <w:rPr>
          <w:rFonts w:eastAsia="Sylfaen" w:cs="Times New Roman" w:ascii="Times New Roman" w:hAnsi="Times New Roman"/>
          <w:color w:val="000000"/>
          <w:sz w:val="28"/>
          <w:szCs w:val="28"/>
        </w:rPr>
        <w:t xml:space="preserve">                        в соответствии с постановлением администрации муниципального образования Курганинский район от 8 июня 2023 г. № 623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</w:t>
      </w:r>
      <w:bookmarkStart w:id="3" w:name="_Hlk230870992"/>
      <w:r>
        <w:rPr>
          <w:rFonts w:eastAsia="Sylfaen" w:cs="Times New Roman" w:ascii="Times New Roman" w:hAnsi="Times New Roman"/>
          <w:color w:val="000000"/>
          <w:sz w:val="28"/>
          <w:szCs w:val="28"/>
        </w:rPr>
        <w:t>Регламент</w:t>
      </w:r>
      <w:bookmarkEnd w:id="3"/>
      <w:r>
        <w:rPr>
          <w:rFonts w:eastAsia="Sylfaen" w:cs="Times New Roman" w:ascii="Times New Roman" w:hAnsi="Times New Roman"/>
          <w:color w:val="000000"/>
          <w:sz w:val="28"/>
          <w:szCs w:val="28"/>
        </w:rPr>
        <w:t>) в связи с несоответствием его структуры и отдельных положений требованиям федерального законодательства, а именно статье 39 Градостроительного кодекса Российской Федерации, постановлению Правительства Российской Федерации от 20 июля 2021 г. № 1228                              «Об утверждении Правил разработки и утверждения административных регламентов предоставления государственных услуг, о внесении изменений                 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ConsPlusNonformat"/>
        <w:numPr>
          <w:ilvl w:val="1"/>
          <w:numId w:val="2"/>
        </w:numPr>
        <w:ind w:firstLine="709"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предоставление Администрацией муниципальной услуги (далее –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Услуга)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</w:t>
      </w:r>
      <w:r>
        <w:rPr>
          <w:rFonts w:eastAsia="Sylfaen" w:cs="Times New Roman" w:ascii="Times New Roman" w:hAnsi="Times New Roman"/>
          <w:bCs/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» </w:t>
      </w:r>
      <w:r>
        <w:rPr>
          <w:rStyle w:val="111"/>
          <w:rFonts w:cs="Times New Roman"/>
          <w:sz w:val="28"/>
          <w:szCs w:val="28"/>
          <w:shd w:fill="auto" w:val="clear"/>
        </w:rPr>
        <w:t>в соответствии с требованиями действующего законодательства.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851" w:leader="none"/>
          <w:tab w:val="left" w:pos="1134" w:leader="none"/>
        </w:tabs>
        <w:suppressAutoHyphens w:val="true"/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решения указанной проблемы рассматриваемым Проектом МПА предлагается привести Регламент в соответствие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требованиями федерального законодательства, а именно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статье 39 Градостроительного кодекса </w:t>
      </w:r>
      <w:bookmarkStart w:id="4" w:name="_Hlk230867598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bookmarkEnd w:id="4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постановлению Правительства Российской Федерации                         от 20 июля 2021 г. № 1228 «Об утверждении Правил разработки и утверждения административных регламентов предоставления государственных услуг,                     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и Регламент.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Проектом МПА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редусмотрена новая форма административного регламента предоставления Услуги.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Административный регламент устанавливает порядок и стандарт                 предоставления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Услуга включает в себя 3 подуслуги (цели обращения):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предоставление разрешения на условно разрешенный вид использования земельного участка или объекта капитального строительства;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выдача дубликата разрешения на условно разрешенный вид использования земельного участка или объекта капитального строительства;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исправление технической(-их) ошибки(-ок) в разрешении на условно разрешенный вид использования земельного участка или объекта капитального строительства.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6.1. Степень регулирующего воздействия – высокая.  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Наличие или отсутствие в Проекте МПА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 нет.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2">
        <w:r>
          <w:rPr>
            <w:rStyle w:val="Style7"/>
            <w:rFonts w:cs="Times New Roman" w:ascii="Times New Roman" w:hAnsi="Times New Roman"/>
            <w:color w:themeColor="text1" w:val="000000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31 июля 2020 г. № 247-ФЗ «Об обязательных требованиях                          в Российской Федерации»: нет.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2.3, 2.4, 2.5, 2.6 Порядка установления и оценки применения устанавливаемых муниципальными нормативными правовыми актами муниципального образования Курганинский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Курганинский район: нет.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contextualSpacing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Ф.И.О. – Перкин Евгений Викторович. 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Должность: </w:t>
      </w:r>
      <w:r>
        <w:rPr>
          <w:rFonts w:cs="Times New Roman" w:ascii="Times New Roman" w:hAnsi="Times New Roman"/>
          <w:color w:val="000000"/>
          <w:sz w:val="28"/>
          <w:szCs w:val="28"/>
        </w:rPr>
        <w:t>начальник управления архитектуры и градостроительства администрации муниципального образования Курганинский  район.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2-88-85.  Адрес электронной почты:</w:t>
      </w:r>
      <w:r>
        <w:rPr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arhikurgan@mail.ru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>нецелесообразность использования действующего административного регламента по предоставлению Администрацией Услуги, в связи                                     с несоответствием его структуры и отдельных положений требованиям федерального законодательства, а именно статье 39 Градостроительного кодекса Российской Федерации, постановлению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 xml:space="preserve">.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>Предлагаемое правовое регулирование направлено на приведение Регламента в соответствие действующему законодательству.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                 принятых ранее для ее решения, достигнутых результатах и затраченных ресурсах: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Проблема выявлена при получении протеста прокуратуры Курганинского района от 5 февраля 2025 г. «О несоответствии нормам федерального законодательства».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Федеральным законом от 29 декабря 2019 г. № 472-ФЗ «О внесении изменений в Градостроительный кодекс Российской Федерации и отдельные законодательные акты Российской Федерации» внесены изменения статьи 39 Градостроительного кодекса Российской Федерации.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Правительства РФ от 20 июля 2021 г. № 1228                               «Об утверждении Правил разработки и утверждения административных регламентов предоставления государственных услуг, о внесении изменений                  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– изменились требования к форме административных регламентов.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НПА разработан в целях приведения Регламента                                      в соответствие с требованиями федерального законодательства.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физические или юридические лица или их уполномоченные представители.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с тем, в 2025 году                            за предоставлением муниципальной услуги обратилось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14 заявителей.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Характеристика негативных эффектов, возникающих в связи                   с наличием проблемы, их количественная оценка: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>несвоевременное оповещение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 может образовать коррупциогенный фактор</w:t>
      </w:r>
      <w:r>
        <w:rPr>
          <w:rFonts w:eastAsia="Sylfaen"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                 её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суще</w:t>
      </w:r>
      <w:r>
        <w:rPr>
          <w:rFonts w:cs="Times New Roman" w:ascii="Times New Roman" w:hAnsi="Times New Roman"/>
          <w:color w:val="000000"/>
          <w:sz w:val="28"/>
          <w:szCs w:val="28"/>
        </w:rPr>
        <w:t>ствование: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проблема была выявлена при проведении мониторинга нормативных правовых актов, при получении протеста прокуратуры Курганинского района от 5 февраля 2025 г. «О несоответствии нормам федерального законодательства».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 Причины невозможности решения проб</w:t>
      </w:r>
      <w:r>
        <w:rPr>
          <w:rFonts w:cs="Times New Roman" w:ascii="Times New Roman" w:hAnsi="Times New Roman"/>
          <w:sz w:val="28"/>
          <w:szCs w:val="28"/>
        </w:rPr>
        <w:t>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 ходе разработки Проекта МПА изучен опыт решения проблемы                     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rFonts w:eastAsia="" w:eastAsiaTheme="minorEastAsia"/>
          <w:color w:val="000000"/>
          <w:sz w:val="28"/>
          <w:szCs w:val="28"/>
          <w:lang w:eastAsia="en-US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2.9. Иная информация о проблеме: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отсутствует.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                             и индикаторов для оценки их достижения</w:t>
      </w:r>
    </w:p>
    <w:p>
      <w:pPr>
        <w:pStyle w:val="ConsPlusNormal"/>
        <w:numPr>
          <w:ilvl w:val="0"/>
          <w:numId w:val="0"/>
        </w:numPr>
        <w:ind w:firstLine="709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Предоставление Администрацией Услуги </w:t>
            </w:r>
            <w:r>
              <w:rPr>
                <w:rStyle w:val="111"/>
                <w:rFonts w:cs="Times New Roman"/>
                <w:sz w:val="24"/>
                <w:szCs w:val="24"/>
              </w:rPr>
              <w:t>в соответствии с требованиями действующего законодательства.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утверждения и вступления в силу рассматриваемого Проекта МПА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вытекает необходимость разработки предлагаемого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Градостроительный кодекс Российской Федерации;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Земельный кодекс Российской Федерации; 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постановление Правительства Российской Федерации от 20 июля 2021 г.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r>
        <w:rPr>
          <w:rFonts w:cs="Times New Roman" w:ascii="Times New Roman" w:hAnsi="Times New Roman"/>
          <w:sz w:val="28"/>
          <w:szCs w:val="28"/>
          <w:highlight w:val="yellow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признании утратившими силу некоторых актов и отдельных положений актов Правительства Российской Федерации»;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9"/>
        <w:gridCol w:w="3680"/>
        <w:gridCol w:w="1000"/>
        <w:gridCol w:w="1352"/>
      </w:tblGrid>
      <w:tr>
        <w:trPr/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_Копия_1"/>
            <w:bookmarkEnd w:id="6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0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92"/>
            <w:bookmarkEnd w:id="8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Администрацией Услуги в соответствии с требованиями действующего                  законодательства.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1) для варианта предоставления Услуги</w:t>
            </w:r>
            <w:r>
              <w:rPr>
                <w:rStyle w:val="FontStyle21"/>
                <w:rFonts w:eastAsia="Calibri"/>
                <w:color w:val="000000"/>
                <w:sz w:val="24"/>
                <w:szCs w:val="24"/>
              </w:rPr>
              <w:t xml:space="preserve">: количество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разрешений на условно разрешенный вид использования земельного участка или объекта капитального строительства;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Style w:val="FontStyle21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2) для варианта предоставления подуслуги «выдача дубликата разрешения на условно разрешенный вид использования земельного участка или объекта капитального строительства» количество выданных дубликатов разрешений на строительство, реконструкцию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4) для варианта предоставления подуслуги «исправление технической(-их) ошибки(-ок) в разрешении на условно разрешенный вид использования земельного участка или объекта капитального строительства» количество выданных по результату ранее предоставленной Услуги, без опечаток и ошибок.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2026 г. (далее-ежегодно) - 100% (без учета отказов в предоставлении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spacing w:before="0" w:after="0"/>
        <w:ind w:firstLine="709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количество, выданных документов/количество поступивших заявлений)                      х 100%.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en-US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lineRule="auto" w:line="240" w:before="114" w:after="114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физические или юридические лица или их уполномоченные представители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Услуга имеет заявительный характер. В 2025 г. за предоставлением Услуги обратил</w:t>
            </w:r>
            <w:r>
              <w:rPr>
                <w:rStyle w:val="FontStyle21"/>
                <w:color w:val="000000"/>
                <w:sz w:val="24"/>
                <w:szCs w:val="24"/>
                <w:shd w:fill="auto" w:val="clear"/>
              </w:rPr>
              <w:t>ось 14 заявителей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Данные управление архитектуры и градостроительства администрации МО Курганинский район, как органа, уполномоченного на предоставление Услуги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0" w:name="Par334"/>
      <w:bookmarkStart w:id="11" w:name="Par334"/>
      <w:bookmarkEnd w:id="11"/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36"/>
            <w:bookmarkEnd w:id="12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заяви-теля;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доку-ментов и (или) информации, необходимых для предоставления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информационное межведомственное взаимодей-ствие;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оценка документов и  сведений, направленных заявителем на предмет их соответствия требованиям законодательства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 предоставлении (об отказе в предоставлении)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 xml:space="preserve"> </w:t>
            </w:r>
            <w:r>
              <w:rPr>
                <w:rStyle w:val="105pt"/>
                <w:rFonts w:eastAsia="Calibri" w:eastAsiaTheme="minorHAnsi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3" w:name="Par364"/>
      <w:bookmarkStart w:id="14" w:name="Par364"/>
      <w:bookmarkEnd w:id="14"/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00"/>
      <w:bookmarkEnd w:id="15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lineRule="auto" w:line="240" w:before="114" w:after="114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физические или юридические лица или их уполномоченные представители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Услуги является подача заявителем запроса о предоставлении Услуги.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0,047238 на одного заявителя или 0,661339 на 14 заявителей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both"/>
        <w:outlineLvl w:val="2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информационное;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ru-RU"/>
        </w:rPr>
        <w:t>аявления о предоставлении МУ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</w:t>
      </w:r>
      <w:r>
        <w:rPr>
          <w:rFonts w:eastAsia="Sylfaen" w:cs="Times New Roman" w:ascii="Times New Roman" w:hAnsi="Times New Roman"/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Style w:val="FontStyle21"/>
          <w:color w:val="000000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число заявлений - 1 ед.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или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 xml:space="preserve"> 14 е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диниц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 ед.  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Список приобретений: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публикация оповещения о начале проведения публичных слушаний                 или общественных обсуждений – 23000 рублей;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публикация заключения о проведении публичных слушаний                                   или общественных обсуждений – 23000 рублей;</w:t>
      </w:r>
    </w:p>
    <w:p>
      <w:pPr>
        <w:pStyle w:val="Normal"/>
        <w:suppressAutoHyphens w:val="true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highlight w:val="yellow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за январь -  март 2026 г. согласно данным органов статистики: 63748,9 руб.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     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firstLine="709"/>
        <w:jc w:val="both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>Средняя  стоимость часа работы: 379,5 руб. (63748,9 руб./21 день/8ч)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Стоимость требования: 47238,5 руб. (379,5*(1+1+1)+23000+23000+100)              в расчете на 1 ед. или 661339</w:t>
      </w:r>
      <w:r>
        <w:rPr>
          <w:rStyle w:val="111"/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руб.  на 14 заявителей.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6" w:name="Par429"/>
      <w:bookmarkEnd w:id="16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3"/>
        <w:gridCol w:w="3675"/>
        <w:gridCol w:w="1648"/>
        <w:gridCol w:w="2661"/>
      </w:tblGrid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7" w:name="Par447"/>
      <w:bookmarkStart w:id="18" w:name="Par447"/>
      <w:bookmarkEnd w:id="18"/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79"/>
        <w:gridCol w:w="2851"/>
        <w:gridCol w:w="2551"/>
      </w:tblGrid>
      <w:tr>
        <w:trPr/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>Заявителями в</w:t>
            </w:r>
          </w:p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 xml:space="preserve">соответствии с Проектом МПА являются </w:t>
            </w:r>
            <w:r>
              <w:rPr>
                <w:rStyle w:val="FontStyle21"/>
                <w:bCs/>
                <w:color w:val="000000"/>
                <w:sz w:val="24"/>
                <w:szCs w:val="24"/>
                <w:shd w:fill="auto" w:val="clear"/>
              </w:rPr>
              <w:t>физические или юридические лица или их уполномоченные представители.</w:t>
            </w: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 xml:space="preserve"> Вместе с тем, в 2025 году за предоставлением муниципальной услуги обратилось 14 заявителей.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>Ориентировочно расходы, связанные                        с введением предлагаемого правового регулирования составят 47238,5 руб. в расчете на одного заявителя, или 661339 руб. в расчете на группу адресатов предлагаемого правового регулирования                       (14 заявителей)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Регламент предоставления Услуги </w:t>
      </w:r>
      <w:r>
        <w:rPr>
          <w:rStyle w:val="111"/>
          <w:rFonts w:cs="Times New Roman"/>
          <w:sz w:val="28"/>
          <w:szCs w:val="28"/>
        </w:rPr>
        <w:t>в соответствие требованиям действующего законодательства.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июль 2026 г.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              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управления архитектуры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градостроительства, главный архитектор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Курганинский район                                                                                 Е.В. Перкин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11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 w:customStyle="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 w:customStyle="1">
    <w:name w:val="Цветовое выделение для Текст"/>
    <w:qFormat/>
    <w:rPr>
      <w:sz w:val="24"/>
    </w:rPr>
  </w:style>
  <w:style w:type="character" w:styleId="32" w:customStyle="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Абзац списка Знак"/>
    <w:link w:val="ListParagraph"/>
    <w:uiPriority w:val="34"/>
    <w:qFormat/>
    <w:locked/>
    <w:rsid w:val="0006047b"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20"/>
    <w:uiPriority w:val="34"/>
    <w:qFormat/>
    <w:rsid w:val="00f84bd7"/>
    <w:pPr>
      <w:spacing w:before="0" w:after="200"/>
      <w:ind w:left="720"/>
      <w:contextualSpacing/>
    </w:pPr>
    <w:rPr/>
  </w:style>
  <w:style w:type="paragraph" w:styleId="Style23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5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6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 w:customStyle="1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19C-6CC0-4E1A-B26E-ADBD702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Application>LibreOffice/24.8.7.2$Linux_X86_64 LibreOffice_project/480$Build-2</Application>
  <AppVersion>15.0000</AppVersion>
  <Pages>11</Pages>
  <Words>2461</Words>
  <Characters>19800</Characters>
  <CharactersWithSpaces>22888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2026-04-22T08:22:00Z</dcterms:created>
  <dc:creator>User</dc:creator>
  <dc:description/>
  <dc:language>ru-RU</dc:language>
  <cp:lastModifiedBy/>
  <cp:lastPrinted>2026-02-25T14:29:00Z</cp:lastPrinted>
  <dcterms:modified xsi:type="dcterms:W3CDTF">2026-07-02T16:44:17Z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