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СВОДНЫЙ ОТЧЕТ</w:t>
      </w:r>
    </w:p>
    <w:p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результатах проведения оценки регулирующего воздействия</w:t>
      </w:r>
    </w:p>
    <w:p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проектов муниципальных нормативных правовых актов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>
        <w:rPr>
          <w:rFonts w:cs="Times New Roman" w:ascii="Times New Roman" w:hAnsi="Times New Roman"/>
          <w:sz w:val="28"/>
          <w:szCs w:val="28"/>
        </w:rPr>
        <w:t>1. Общая информация</w:t>
      </w:r>
    </w:p>
    <w:p>
      <w:pPr>
        <w:pStyle w:val="ConsPlusNonformat"/>
        <w:numPr>
          <w:ilvl w:val="1"/>
          <w:numId w:val="1"/>
        </w:numPr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Регулирующий орган: </w:t>
      </w:r>
    </w:p>
    <w:p>
      <w:pPr>
        <w:pStyle w:val="ConsPlusNonformat"/>
        <w:tabs>
          <w:tab w:val="clear" w:pos="708"/>
          <w:tab w:val="left" w:pos="0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управление архитектуры и градостроительства </w:t>
      </w:r>
      <w:bookmarkStart w:id="1" w:name="_Hlk230860581"/>
      <w:r>
        <w:rPr>
          <w:rFonts w:cs="Times New Roman" w:ascii="Times New Roman" w:hAnsi="Times New Roman"/>
          <w:color w:val="000000"/>
          <w:sz w:val="28"/>
          <w:szCs w:val="28"/>
        </w:rPr>
        <w:t>администрации муниципального образования Курганинский район</w:t>
      </w:r>
      <w:bookmarkEnd w:id="1"/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ConsPlusNonformat"/>
        <w:numPr>
          <w:ilvl w:val="1"/>
          <w:numId w:val="1"/>
        </w:numPr>
        <w:ind w:firstLine="567" w:lef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Вид и наименование проекта муниципального нормативного правового акта: </w:t>
      </w:r>
    </w:p>
    <w:p>
      <w:pPr>
        <w:pStyle w:val="ConsPlusNonformat"/>
        <w:tabs>
          <w:tab w:val="clear" w:pos="708"/>
          <w:tab w:val="left" w:pos="0" w:leader="none"/>
        </w:tabs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проект постановления администрации муниципального образования Курганинский район «</w:t>
      </w:r>
      <w:bookmarkStart w:id="2" w:name="_Hlk230869415"/>
      <w:r>
        <w:rPr>
          <w:rFonts w:cs="Times New Roman" w:ascii="Times New Roman" w:hAnsi="Times New Roman"/>
          <w:color w:val="000000"/>
          <w:sz w:val="28"/>
          <w:szCs w:val="28"/>
        </w:rPr>
        <w:t>Выдача градостроительных планов земельных участков»</w:t>
      </w:r>
      <w:bookmarkEnd w:id="2"/>
      <w:r>
        <w:rPr>
          <w:rFonts w:cs="Times New Roman" w:ascii="Times New Roman" w:hAnsi="Times New Roman"/>
          <w:color w:val="000000"/>
          <w:sz w:val="28"/>
          <w:szCs w:val="28"/>
        </w:rPr>
        <w:t xml:space="preserve"> (далее – Проект МПА).</w:t>
      </w:r>
    </w:p>
    <w:p>
      <w:pPr>
        <w:pStyle w:val="ConsPlusNonformat"/>
        <w:numPr>
          <w:ilvl w:val="1"/>
          <w:numId w:val="1"/>
        </w:numPr>
        <w:tabs>
          <w:tab w:val="clear" w:pos="708"/>
          <w:tab w:val="left" w:pos="1134" w:leader="none"/>
        </w:tabs>
        <w:ind w:firstLine="709" w:lef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Предполагаемая дата вступления в силу Проекта МПА: </w:t>
      </w:r>
    </w:p>
    <w:p>
      <w:pPr>
        <w:pStyle w:val="ConsPlusNonformat"/>
        <w:tabs>
          <w:tab w:val="clear" w:pos="708"/>
          <w:tab w:val="left" w:pos="1134" w:leader="none"/>
        </w:tabs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сентябрь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2026 г.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1.4. Краткое описание проблемы, на решение которой направлено предлагаемое правовое регулирование: </w:t>
      </w:r>
    </w:p>
    <w:p>
      <w:pPr>
        <w:pStyle w:val="ConsPlusNonformat"/>
        <w:ind w:firstLine="709"/>
        <w:jc w:val="both"/>
        <w:rPr/>
      </w:pPr>
      <w:r>
        <w:rPr>
          <w:rFonts w:eastAsia="Sylfaen" w:cs="Times New Roman" w:ascii="Times New Roman" w:hAnsi="Times New Roman"/>
          <w:color w:val="000000"/>
          <w:sz w:val="28"/>
          <w:szCs w:val="28"/>
        </w:rPr>
        <w:t xml:space="preserve">нецелесообразность </w:t>
      </w:r>
      <w:r>
        <w:rPr>
          <w:rFonts w:eastAsia="Sylfaen" w:cs="Times New Roman" w:ascii="Times New Roman" w:hAnsi="Times New Roman"/>
          <w:color w:val="000000"/>
          <w:sz w:val="28"/>
          <w:szCs w:val="28"/>
        </w:rPr>
        <w:t xml:space="preserve">(неудобство) </w:t>
      </w:r>
      <w:r>
        <w:rPr>
          <w:rFonts w:eastAsia="Sylfaen" w:cs="Times New Roman" w:ascii="Times New Roman" w:hAnsi="Times New Roman"/>
          <w:color w:val="000000"/>
          <w:sz w:val="28"/>
          <w:szCs w:val="28"/>
        </w:rPr>
        <w:t xml:space="preserve">использования действующего административного регламента по предоставлению администрацией муниципального образования Курганинский район (далее – Администрация) </w:t>
      </w:r>
      <w:bookmarkStart w:id="3" w:name="_Hlk230867300"/>
      <w:r>
        <w:rPr>
          <w:rFonts w:eastAsia="Sylfaen" w:cs="Times New Roman" w:ascii="Times New Roman" w:hAnsi="Times New Roman"/>
          <w:color w:val="000000"/>
          <w:sz w:val="28"/>
          <w:szCs w:val="28"/>
        </w:rPr>
        <w:t>муниципальной услуги</w:t>
      </w:r>
      <w:bookmarkEnd w:id="3"/>
      <w:r>
        <w:rPr>
          <w:rFonts w:eastAsia="Sylfaen" w:cs="Times New Roman" w:ascii="Times New Roman" w:hAnsi="Times New Roman"/>
          <w:color w:val="000000"/>
          <w:sz w:val="28"/>
          <w:szCs w:val="28"/>
        </w:rPr>
        <w:t xml:space="preserve"> в соответствии с постановлением администрации муниципального образования Курганинский район </w:t>
      </w:r>
      <w:r>
        <w:rPr>
          <w:rFonts w:eastAsia="Times New Roman" w:cs="Times New Roman" w:ascii="Times New Roman" w:hAnsi="Times New Roman"/>
          <w:sz w:val="28"/>
          <w:szCs w:val="28"/>
        </w:rPr>
        <w:t>от 29 января 2018 г. № 68 «Об утверждении административного регламента по предоставлению муниципальной услуги «Выдача градостроительных планов земельных участков» в действующей редакции</w:t>
      </w:r>
      <w:r>
        <w:rPr>
          <w:rFonts w:eastAsia="Sylfaen" w:cs="Times New Roman" w:ascii="Times New Roman" w:hAnsi="Times New Roman"/>
          <w:color w:val="000000"/>
          <w:sz w:val="28"/>
          <w:szCs w:val="28"/>
        </w:rPr>
        <w:t xml:space="preserve"> (далее – </w:t>
      </w:r>
      <w:bookmarkStart w:id="4" w:name="_Hlk230870992"/>
      <w:r>
        <w:rPr>
          <w:rFonts w:eastAsia="Sylfaen" w:cs="Times New Roman" w:ascii="Times New Roman" w:hAnsi="Times New Roman"/>
          <w:color w:val="000000"/>
          <w:sz w:val="28"/>
          <w:szCs w:val="28"/>
        </w:rPr>
        <w:t>Регламент</w:t>
      </w:r>
      <w:bookmarkEnd w:id="4"/>
      <w:r>
        <w:rPr>
          <w:rFonts w:eastAsia="Sylfaen" w:cs="Times New Roman" w:ascii="Times New Roman" w:hAnsi="Times New Roman"/>
          <w:color w:val="000000"/>
          <w:sz w:val="28"/>
          <w:szCs w:val="28"/>
        </w:rPr>
        <w:t>), в связи                             с несоответствием его структуры и отдельных положений требованиям федерального законодательства, а именно статьи 57.3 Градостроительного кодекса Российской Федерации, постановления Правительства Российской Федерации от 20 июля 2021 г. № 1228 «Об утверждении Правил разработки                  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                  и отдельных положений актов Правительства Российской Федерации»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ConsPlusNonformat"/>
        <w:numPr>
          <w:ilvl w:val="1"/>
          <w:numId w:val="2"/>
        </w:numPr>
        <w:ind w:firstLine="709" w:lef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Краткое описание целей предлагаемого правового регулирования: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предоставление Администрацией муниципальной услуги (далее –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Услуга)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«</w:t>
      </w:r>
      <w:r>
        <w:rPr>
          <w:rFonts w:eastAsia="Sylfaen" w:cs="Times New Roman" w:ascii="Times New Roman" w:hAnsi="Times New Roman"/>
          <w:bCs/>
          <w:color w:val="000000"/>
          <w:sz w:val="28"/>
          <w:szCs w:val="28"/>
        </w:rPr>
        <w:t>Выдача градостроительных планов земельных участков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» </w:t>
      </w:r>
      <w:r>
        <w:rPr>
          <w:rStyle w:val="111"/>
          <w:rFonts w:cs="Times New Roman"/>
          <w:sz w:val="28"/>
          <w:szCs w:val="28"/>
          <w:shd w:fill="auto" w:val="clear"/>
        </w:rPr>
        <w:t>в соответствии                   с требованиями действующего законодательства.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1.6. Краткое описание содержания предлагаемого правового регулирования: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firstLine="709"/>
        <w:jc w:val="both"/>
        <w:outlineLvl w:val="0"/>
        <w:rPr/>
      </w:pPr>
      <w:r>
        <w:rPr>
          <w:rFonts w:cs="Times New Roman" w:ascii="Times New Roman" w:hAnsi="Times New Roman"/>
          <w:sz w:val="28"/>
          <w:szCs w:val="28"/>
        </w:rPr>
        <w:t xml:space="preserve">в целях решения указанной проблемы рассматриваемым Проектом МПА предлагается привести Регламент в соответствие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требованиями федерального законодательства, а именно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статьи 57.3 Градостроительного кодекса </w:t>
      </w:r>
      <w:bookmarkStart w:id="5" w:name="_Hlk230867598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Российской Федерации</w:t>
      </w:r>
      <w:bookmarkEnd w:id="5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постановления Правительства Российской Федерации                         от 20 июля 2021 г. № 1228 «Об утверждении Правил разработки и утверждения административных регламентов предоставления государственных услуг,                      о внесении изменений в некоторые акты правительства Российской Федерации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 признании утратившими силу некоторых актов и отдельных положений актов Правительства Российской Федерации» и Регламент.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firstLine="709"/>
        <w:jc w:val="both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Проектом МПА предусмотрена новая форма административного регламента предоставления Услуги.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firstLine="709"/>
        <w:jc w:val="both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Признать утратившими силу: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firstLine="709"/>
        <w:jc w:val="both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постановление администрации муниципального образования Курганинский район от 29 января 2018 г. № 68 «Об утверждении административного регламента по предоставлению муниципальной услуги «Выдача градостроительных планов земельных участков»;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firstLine="709"/>
        <w:jc w:val="both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постановление администрации муниципального образования Курганинский район Краснодарского края от 08 августа 2022 г. № 793                            «О внесении изменений в постановление администрации муниципального образования Курганинский район от 29 января 2018 г. № 68 «Об утверждении административного регламента по предоставлению муниципальной услуги «Выдача градостроительных планов земельных участков».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firstLine="709"/>
        <w:jc w:val="both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Административный регламент устанавливает порядок и стандарт                 предоставления услуги «Выдача градостроительных планов земельных участков».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firstLine="709"/>
        <w:jc w:val="both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Услуга включает в себя 3 подуслуги (цели обращения):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firstLine="709"/>
        <w:jc w:val="both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выдача градостроительных планов земельных участков;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firstLine="709"/>
        <w:jc w:val="both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выдача дубликата градостроительного плана земельного участка;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firstLine="709"/>
        <w:jc w:val="both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исправление технической(-их) ошибки(-ок) в градостроительном плане земельного участка.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firstLine="709"/>
        <w:jc w:val="both"/>
        <w:outlineLvl w:val="0"/>
        <w:rPr/>
      </w:pPr>
      <w:r>
        <w:rPr>
          <w:rFonts w:cs="Times New Roman" w:ascii="Times New Roman" w:hAnsi="Times New Roman"/>
          <w:sz w:val="28"/>
          <w:szCs w:val="28"/>
        </w:rPr>
        <w:t>1.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6.1. Степень регулирующего воздействия – высокая.   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ind w:firstLine="709"/>
        <w:jc w:val="both"/>
        <w:textAlignment w:val="top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Проект МПА содержит положения, устанавливающие новые обязательные требования для субъектов предпринимательской и иной экономической деятельности, обязанности для субъектов инвестиционной деятельности.</w:t>
      </w:r>
    </w:p>
    <w:p>
      <w:pPr>
        <w:pStyle w:val="Normal"/>
        <w:suppressAutoHyphens w:val="true"/>
        <w:spacing w:lineRule="auto" w:line="240" w:before="0" w:after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1.6.2. Наличие или отсутствие в Проекте МПА обязательных требований, связанных с осуществлением предпринимательской и иной экономической деятельности,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оценок и экспертизы (далее - обязательные требования): нет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Обоснование отнесения устанавливаемых новых или изменяемых требований к обязательным требованиям: нет.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Информация о соответствии принципам, установленным Федеральным </w:t>
      </w:r>
      <w:hyperlink r:id="rId2">
        <w:r>
          <w:rPr>
            <w:rStyle w:val="Style7"/>
            <w:rFonts w:cs="Times New Roman" w:ascii="Times New Roman" w:hAnsi="Times New Roman"/>
            <w:color w:themeColor="text1" w:val="000000"/>
            <w:sz w:val="28"/>
            <w:szCs w:val="28"/>
          </w:rPr>
          <w:t>законом</w:t>
        </w:r>
      </w:hyperlink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от 31 июля 2020 г. № 247-ФЗ «Об обязательных требованиях                          в Российской Федерации»: нет.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Информация о соблюдении условий установления обязательных требований, установленных частями 2.1, 2.2, 2.3, 2.4, 2.5, 2.6 Порядка установления и оценки применения устанавливаемых муниципальными нормативными правовыми актами муниципального образования                Курганинский район обязательных требований, которые связаны                                    с осуществлением предпринимательской и иной экономической деятельности     и оценка соблюдения которых осуществляется в рамках муниципального контроля, утверждаемого постановлением администрации муниципального образования Курганинский район: нет.</w:t>
      </w:r>
    </w:p>
    <w:p>
      <w:pPr>
        <w:pStyle w:val="Normal"/>
        <w:suppressAutoHyphens w:val="true"/>
        <w:spacing w:lineRule="auto" w:line="240" w:before="0" w:after="20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1.7. Контактная информация исполнителя в регулирующем органе: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contextualSpacing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Ф.И.О. – Перкин Евгений Викторович. 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Должность: </w:t>
      </w:r>
      <w:r>
        <w:rPr>
          <w:rFonts w:cs="Times New Roman" w:ascii="Times New Roman" w:hAnsi="Times New Roman"/>
          <w:color w:val="000000"/>
          <w:sz w:val="28"/>
          <w:szCs w:val="28"/>
        </w:rPr>
        <w:t>начальник управления архитектуры и градостроительства администрации муниципального образования Курганинский  район.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Тел.: 2-88-85.  Адрес электронной почты:</w:t>
      </w:r>
      <w:r>
        <w:rPr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arhikurgan@mail.ru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Описание проблемы, на решение которой направлено предлагаемое правовое регулирование: 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709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2.1. Формулировка проблемы: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" w:cs="Times New Roman" w:eastAsiaTheme="minorEastAsia"/>
          <w:color w:val="000000"/>
          <w:sz w:val="28"/>
          <w:szCs w:val="28"/>
        </w:rPr>
      </w:pPr>
      <w:r>
        <w:rPr>
          <w:rFonts w:eastAsia="Sylfaen" w:cs="Times New Roman" w:ascii="Times New Roman" w:hAnsi="Times New Roman"/>
          <w:color w:val="000000"/>
          <w:sz w:val="28"/>
          <w:szCs w:val="28"/>
        </w:rPr>
        <w:t>нецелесообразность использования действующего административного регламента по предоставлению Администрацией Услуги, в связи                                     с несоответствием его структуры и отдельных положений требованиям федерального законодательства, а именно статьи 57.3 Градостроительного кодекса Российской Федерации, постановления Правительства Российской Федерации от 20 июля 2021 г. № 1228 «Об утверждении Правил разработки               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                     и отдельных положений актов Правительства Российской Федерации»</w:t>
      </w:r>
      <w:r>
        <w:rPr>
          <w:rFonts w:eastAsia="" w:cs="Times New Roman" w:ascii="Times New Roman" w:hAnsi="Times New Roman" w:eastAsiaTheme="minorEastAsia"/>
          <w:color w:val="000000"/>
          <w:sz w:val="28"/>
          <w:szCs w:val="28"/>
        </w:rPr>
        <w:t xml:space="preserve">. 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" w:cs="Times New Roman" w:eastAsiaTheme="minorEastAsia"/>
          <w:color w:val="000000"/>
          <w:sz w:val="28"/>
          <w:szCs w:val="28"/>
        </w:rPr>
      </w:pPr>
      <w:r>
        <w:rPr>
          <w:rFonts w:eastAsia="" w:cs="Times New Roman" w:ascii="Times New Roman" w:hAnsi="Times New Roman" w:eastAsiaTheme="minorEastAsia"/>
          <w:color w:val="000000"/>
          <w:sz w:val="28"/>
          <w:szCs w:val="28"/>
        </w:rPr>
        <w:t>Предлагаемое правовое регулирование направлено на приведение Регламента в соответствие действующему законодательству.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 Информация о возникновении, выявлении проблемы и мерах,                  принятых ранее для ее решения, достигнутых результатах и затраченных ресурсах: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Проблема выявлена после вступивших в силу изменениях федерального законодательства. 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Федеральным законом от 26 декабря 2024 г. № 486-ФЗ «О внесении изменений в Градостроительный кодекс Российской Федерации и отдельные законодательные акты Российской Федерации» внесены изменения в статью 57.3 Градостроительного кодекса Российской Федерации – уточнены требования к выдаче градостроительного плана земельного участка, который образуется из земель и (или) земельных участков, которые находятся                             в государственной или муниципальной собственности, в целях комплексного развития территории. 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 Правительства РФ от 20 июля 2021 г. № 1228                               «Об утверждении Правил разработки и утверждения административных регламентов предоставления государственных услуг, о внесении изменений                  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 – изменились требования к форме административных регламентов.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 НПА разработан в целях приведения Регламента                                      в соответствие с требованиями федерального законодательства.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Признание утратившими силу постановления Администрации: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29 января 2018 г. № 68 «Об утверждении административного регламента по предоставлению муниципальной услуги «Выдача градостроительных планов земельных участков»;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8 августа 2022 г. № 793 «О внесении изменений в постановление администрации муниципального образования Курганинский район                                от 29 января 2018 г. № 68 «Об утверждении административного регламента                по предоставлению муниципальной услуги «Выдача градостроительных планов земельных участков».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2.3. Субъекты общественных отношений, заинтересованные в устранении проблемы, их количественная оценка: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Потенциальной группой участников общественных отношений, интересы которых будут затронуты предлагаемым правовым регулированием, являются: физические лица, в том числе зарегистрированные в качестве индивидуальных предпринимателей, юридические лица или их уполномоченные представители.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Количественная оценка участников не ограничена. Определить точное количество не представляется возможным в связи с заявительным характером предлагаемого правового регулирования.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Вместе с тем, в 2025 году                            за предоставлением муниципальной услуги обратилось 34 заявителя. 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2.4. Характеристика негативных эффектов, возникающих в связи                   с наличием проблемы, их количественная оценка: 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Sylfaen" w:cs="Times New Roman" w:ascii="Times New Roman" w:hAnsi="Times New Roman"/>
          <w:color w:val="000000"/>
          <w:sz w:val="28"/>
          <w:szCs w:val="28"/>
        </w:rPr>
        <w:t>отсутствие у заявителя возможности подачи заявления в соответствии                с требованиями федерального законодательства.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2.5. Причины возникновения проблемы и факторы, поддерживающие                  её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суще</w:t>
      </w:r>
      <w:r>
        <w:rPr>
          <w:rFonts w:cs="Times New Roman" w:ascii="Times New Roman" w:hAnsi="Times New Roman"/>
          <w:color w:val="000000"/>
          <w:sz w:val="28"/>
          <w:szCs w:val="28"/>
        </w:rPr>
        <w:t>ствование: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проблема была выявлена при проведении мониторинга нормативных правовых актов.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2.6. Причины невозможности решения проб</w:t>
      </w:r>
      <w:r>
        <w:rPr>
          <w:rFonts w:cs="Times New Roman" w:ascii="Times New Roman" w:hAnsi="Times New Roman"/>
          <w:sz w:val="28"/>
          <w:szCs w:val="28"/>
        </w:rPr>
        <w:t>лемы участниками соответствующих отношений самостоятельно, без вмешательства органов местного самоуправления муниципального образования Курганинский район: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>нормативные правовые акты издают в пределах своей компетенции органы исполнительной власти субъектов Российской Федерации, исполнительные органы местного самоуправления.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2.7. Опыт решения аналогичных проблем в других субъектах Российской Федерации, муниципальных образованиях Краснодарского края, иностранных государствах: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>в ходе разработки Проекта МПА изучен опыт решения проблемы                      в других муниципальных образованиях Краснодарского края, данная проблема решается аналогичным образом.</w:t>
      </w:r>
    </w:p>
    <w:p>
      <w:pPr>
        <w:pStyle w:val="western"/>
        <w:suppressAutoHyphens w:val="true"/>
        <w:spacing w:beforeAutospacing="0" w:before="0" w:afterAutospacing="0"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2.8. Источники данных: </w:t>
      </w:r>
    </w:p>
    <w:p>
      <w:pPr>
        <w:pStyle w:val="western"/>
        <w:suppressAutoHyphens w:val="true"/>
        <w:spacing w:beforeAutospacing="0" w:before="0" w:afterAutospacing="0" w:after="0"/>
        <w:ind w:firstLine="709"/>
        <w:rPr>
          <w:sz w:val="28"/>
          <w:szCs w:val="28"/>
        </w:rPr>
      </w:pPr>
      <w:r>
        <w:rPr>
          <w:rFonts w:eastAsia="" w:eastAsiaTheme="minorEastAsia"/>
          <w:color w:val="000000"/>
          <w:sz w:val="28"/>
          <w:szCs w:val="28"/>
          <w:lang w:eastAsia="en-US"/>
        </w:rPr>
        <w:t>информационно-телекоммуникационная сеть «Интернет»,  информационно-правовая система «Гарант».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2.9. Иная информация о проблеме: </w:t>
      </w:r>
      <w:r>
        <w:rPr>
          <w:rFonts w:cs="Times New Roman" w:ascii="Times New Roman" w:hAnsi="Times New Roman"/>
          <w:color w:val="000000"/>
          <w:sz w:val="28"/>
          <w:szCs w:val="28"/>
        </w:rPr>
        <w:t>отсутствует.</w:t>
      </w:r>
    </w:p>
    <w:p>
      <w:pPr>
        <w:pStyle w:val="ConsPlusNormal"/>
        <w:numPr>
          <w:ilvl w:val="0"/>
          <w:numId w:val="0"/>
        </w:numPr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Определение целей предлагаемого правового регулирования                              и индикаторов для оценки их достижения.</w:t>
      </w:r>
    </w:p>
    <w:p>
      <w:pPr>
        <w:pStyle w:val="ConsPlusNormal"/>
        <w:numPr>
          <w:ilvl w:val="0"/>
          <w:numId w:val="0"/>
        </w:numPr>
        <w:ind w:firstLine="709" w:left="45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81" w:type="dxa"/>
        <w:jc w:val="left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4253"/>
        <w:gridCol w:w="2263"/>
        <w:gridCol w:w="3065"/>
      </w:tblGrid>
      <w:tr>
        <w:trPr/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270"/>
            <w:bookmarkEnd w:id="6"/>
            <w:r>
              <w:rPr>
                <w:rFonts w:cs="Times New Roman" w:ascii="Times New Roman" w:hAnsi="Times New Roman"/>
                <w:sz w:val="24"/>
                <w:szCs w:val="24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eastAsiaTheme="minorEastAsia"/>
                <w:highlight w:val="none"/>
                <w:shd w:fill="auto" w:val="clear"/>
              </w:rPr>
            </w:pPr>
            <w:r>
              <w:rPr>
                <w:rFonts w:cs="Times New Roman" w:eastAsiaTheme="minorEastAsia" w:ascii="Times New Roman" w:hAnsi="Times New Roman"/>
                <w:sz w:val="24"/>
                <w:szCs w:val="24"/>
                <w:shd w:fill="auto" w:val="clear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>
        <w:trPr/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Предоставление Администрацией Услуги </w:t>
            </w:r>
            <w:r>
              <w:rPr>
                <w:rStyle w:val="111"/>
                <w:rFonts w:cs="Times New Roman"/>
                <w:sz w:val="24"/>
                <w:szCs w:val="24"/>
              </w:rPr>
              <w:t>в соответствии с требованиями действующего законодательства.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 даты утверждения и вступления в силу рассматриваемого Проекта МПА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eastAsiaTheme="minorEastAsia"/>
                <w:highlight w:val="none"/>
                <w:shd w:fill="auto" w:val="clear"/>
              </w:rPr>
            </w:pPr>
            <w:r>
              <w:rPr>
                <w:rFonts w:cs="Times New Roman" w:eastAsiaTheme="minorEastAsia" w:ascii="Times New Roman" w:hAnsi="Times New Roman"/>
                <w:sz w:val="24"/>
                <w:szCs w:val="24"/>
                <w:shd w:fill="auto" w:val="clear"/>
              </w:rPr>
              <w:t>Единовременно</w:t>
            </w:r>
          </w:p>
        </w:tc>
      </w:tr>
    </w:tbl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3.4. Действующие нормативные правовые акты, поручения, другие решения, из которых вытекает необходимость разработки предлагаемого  правового регулирования в данной области, которые определяют необходимость постановки указанных целей: 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Градостроительный кодекс Российской Федерации; 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Федеральный закон от 27 июля 2010 г. № 210-ФЗ «Об организации представления государственных и муниципальных услуг»;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cs="Times New Roman" w:ascii="Times New Roman" w:hAnsi="Times New Roman"/>
          <w:sz w:val="28"/>
          <w:szCs w:val="28"/>
        </w:rPr>
        <w:t>постановление Правительства Российской Федерации от 20 июля 2021 г.   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</w:t>
      </w:r>
      <w:r>
        <w:rPr>
          <w:rFonts w:cs="Times New Roman" w:ascii="Times New Roman" w:hAnsi="Times New Roman"/>
          <w:sz w:val="28"/>
          <w:szCs w:val="28"/>
          <w:highlight w:val="yellow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признании утратившими силу некоторых актов и отдельных положений актов Правительства Российской Федерации»;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Устав МО Курганинский район.</w:t>
      </w:r>
    </w:p>
    <w:p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82" w:type="dxa"/>
        <w:jc w:val="left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3549"/>
        <w:gridCol w:w="3680"/>
        <w:gridCol w:w="1000"/>
        <w:gridCol w:w="1352"/>
      </w:tblGrid>
      <w:tr>
        <w:trPr/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ar290_Копия_1"/>
            <w:bookmarkEnd w:id="7"/>
            <w:r>
              <w:rPr>
                <w:rFonts w:cs="Times New Roman" w:ascii="Times New Roman" w:hAnsi="Times New Roman"/>
                <w:bCs/>
                <w:kern w:val="2"/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r290"/>
            <w:bookmarkEnd w:id="8"/>
            <w:r>
              <w:rPr>
                <w:rFonts w:cs="Times New Roman" w:ascii="Times New Roman" w:hAnsi="Times New Roman"/>
                <w:sz w:val="24"/>
                <w:szCs w:val="24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ar292"/>
            <w:bookmarkEnd w:id="9"/>
            <w:r>
              <w:rPr>
                <w:rFonts w:cs="Times New Roman" w:ascii="Times New Roman" w:hAnsi="Times New Roman"/>
                <w:sz w:val="24"/>
                <w:szCs w:val="24"/>
              </w:rPr>
              <w:t>3.8. Целевые значения индикаторов по годам</w:t>
            </w:r>
          </w:p>
        </w:tc>
      </w:tr>
      <w:tr>
        <w:trPr/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Предоставление Администрацией Услуги в соответствии с требованиями действующего                  законодательства.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Style21"/>
                <w:color w:val="000000"/>
                <w:sz w:val="24"/>
                <w:szCs w:val="24"/>
              </w:rPr>
              <w:t>1) для варианта предоставления Услуги</w:t>
            </w:r>
            <w:r>
              <w:rPr>
                <w:rStyle w:val="FontStyle21"/>
                <w:rFonts w:eastAsia="Calibri"/>
                <w:color w:val="000000"/>
                <w:sz w:val="24"/>
                <w:szCs w:val="24"/>
              </w:rPr>
              <w:t xml:space="preserve">: количество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градостроительных планов земельных участков;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Style w:val="FontStyle21"/>
                <w:color w:val="000000"/>
                <w:sz w:val="24"/>
                <w:szCs w:val="24"/>
              </w:rPr>
            </w:pPr>
            <w:r>
              <w:rPr>
                <w:rStyle w:val="FontStyle21"/>
                <w:color w:val="000000"/>
                <w:sz w:val="24"/>
                <w:szCs w:val="24"/>
              </w:rPr>
              <w:t>2) для варианта предоставления подуслуги «выдача дубликата градостроительного плана земельного участка» количество выданных дубликатов градостроительных планов земельных участков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Style21"/>
                <w:color w:val="000000"/>
                <w:sz w:val="24"/>
                <w:szCs w:val="24"/>
              </w:rPr>
              <w:t>3) для варианта предоставления подуслуги «исправление технической(-их) ошибки(-ок) в градостроительном плане земельного участка» количество выданных по результату ранее предоставленной Услуги, без опечаток и ошибок.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82"/>
              <w:jc w:val="center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2026 г. (далее-ежегодно) - 100% (без учета отказов в предоставлении Услуги)</w:t>
            </w:r>
          </w:p>
        </w:tc>
      </w:tr>
    </w:tbl>
    <w:p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3.9.  Методы, расчета индикаторов достижения целей предлагаемого правового регулирования, источники информации для расчетов:</w:t>
      </w:r>
    </w:p>
    <w:p>
      <w:pPr>
        <w:pStyle w:val="Normal"/>
        <w:spacing w:before="0" w:after="0"/>
        <w:ind w:firstLine="709"/>
        <w:rPr/>
      </w:pPr>
      <w:r>
        <w:rPr>
          <w:rStyle w:val="Style18"/>
          <w:rFonts w:eastAsia="Times New Roman" w:cs="Times New Roman" w:ascii="Times New Roman" w:hAnsi="Times New Roman"/>
          <w:spacing w:val="2"/>
          <w:sz w:val="28"/>
          <w:szCs w:val="28"/>
        </w:rPr>
        <w:t>(</w:t>
      </w:r>
      <w:r>
        <w:rPr>
          <w:rStyle w:val="Style18"/>
          <w:rFonts w:eastAsia="Times New Roman" w:cs="Times New Roman" w:ascii="Times New Roman" w:hAnsi="Times New Roman"/>
          <w:color w:val="000000"/>
          <w:spacing w:val="2"/>
          <w:sz w:val="28"/>
          <w:szCs w:val="28"/>
        </w:rPr>
        <w:t>количество, выданных документов/количество поступивших заявлений)                      х 100%.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3.10. Оценка затрат на проведение мониторинга достижения целей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предлагаемого правового регулирования: </w:t>
      </w:r>
      <w:r>
        <w:rPr>
          <w:rStyle w:val="Style18"/>
          <w:rFonts w:eastAsia="Times New Roman" w:cs="Times New Roman" w:ascii="Times New Roman" w:hAnsi="Times New Roman"/>
          <w:color w:val="000000"/>
          <w:spacing w:val="2"/>
          <w:sz w:val="28"/>
          <w:szCs w:val="28"/>
          <w:lang w:eastAsia="en-US"/>
        </w:rPr>
        <w:t xml:space="preserve"> затраты не </w:t>
      </w:r>
      <w:r>
        <w:rPr>
          <w:rStyle w:val="Style18"/>
          <w:rFonts w:eastAsia="Times New Roman" w:cs="Times New Roman" w:ascii="Times New Roman" w:hAnsi="Times New Roman"/>
          <w:color w:val="000000"/>
          <w:spacing w:val="2"/>
          <w:sz w:val="28"/>
          <w:szCs w:val="28"/>
          <w:lang w:eastAsia="en-US"/>
        </w:rPr>
        <w:t>предусмотрены.</w:t>
      </w:r>
    </w:p>
    <w:p>
      <w:pPr>
        <w:pStyle w:val="ConsPlusNormal"/>
        <w:numPr>
          <w:ilvl w:val="0"/>
          <w:numId w:val="0"/>
        </w:numPr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p>
      <w:pPr>
        <w:pStyle w:val="ConsPlusNormal"/>
        <w:numPr>
          <w:ilvl w:val="0"/>
          <w:numId w:val="0"/>
        </w:numPr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39" w:type="dxa"/>
        <w:jc w:val="left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2830"/>
        <w:gridCol w:w="3177"/>
        <w:gridCol w:w="3632"/>
      </w:tblGrid>
      <w:tr>
        <w:trPr/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ar321"/>
            <w:bookmarkEnd w:id="10"/>
            <w:r>
              <w:rPr>
                <w:rFonts w:cs="Times New Roman" w:ascii="Times New Roman" w:hAnsi="Times New Roman"/>
                <w:sz w:val="24"/>
                <w:szCs w:val="24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4.3. Источники данных</w:t>
            </w:r>
          </w:p>
        </w:tc>
      </w:tr>
      <w:tr>
        <w:trPr>
          <w:trHeight w:val="2768" w:hRule="atLeast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rPr>
                <w:rStyle w:val="FontStyle21"/>
                <w:color w:val="000000"/>
                <w:sz w:val="24"/>
                <w:szCs w:val="24"/>
              </w:rPr>
            </w:pPr>
            <w:r>
              <w:rPr>
                <w:rStyle w:val="FontStyle21"/>
                <w:color w:val="000000"/>
                <w:sz w:val="24"/>
                <w:szCs w:val="24"/>
              </w:rPr>
              <w:t>физические лица, в том числе зарегистрированные в качестве индивидуальных предпринимателей, юридические лица или их уполномоченные представители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rPr/>
            </w:pPr>
            <w:r>
              <w:rPr>
                <w:rStyle w:val="FontStyle21"/>
                <w:color w:val="000000"/>
                <w:sz w:val="24"/>
                <w:szCs w:val="24"/>
                <w:shd w:fill="auto" w:val="clear"/>
              </w:rPr>
              <w:t>Услуга имеет заявительный характер. В 2025 г. за предоставлением Услуги обратилось 34 заявителя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Данные Администрации, как органа, уполномоченного на предоставление Услуги</w:t>
            </w:r>
          </w:p>
        </w:tc>
      </w:tr>
    </w:tbl>
    <w:p>
      <w:pPr>
        <w:pStyle w:val="ConsPlusNormal"/>
        <w:numPr>
          <w:ilvl w:val="0"/>
          <w:numId w:val="0"/>
        </w:numPr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11" w:name="Par334"/>
      <w:bookmarkStart w:id="12" w:name="Par334"/>
      <w:bookmarkEnd w:id="12"/>
    </w:p>
    <w:p>
      <w:pPr>
        <w:pStyle w:val="ConsPlusNormal"/>
        <w:numPr>
          <w:ilvl w:val="0"/>
          <w:numId w:val="0"/>
        </w:numPr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Изменение функций (полномочий, обязанностей, прав) органов местного самоуправления муниципального образования Курганинский район,                   а также порядка их реализации в связи с введением предлагаемого правового регулирования:</w:t>
      </w:r>
    </w:p>
    <w:tbl>
      <w:tblPr>
        <w:tblW w:w="9576" w:type="dxa"/>
        <w:jc w:val="left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1985"/>
        <w:gridCol w:w="1131"/>
        <w:gridCol w:w="2980"/>
        <w:gridCol w:w="1718"/>
        <w:gridCol w:w="1762"/>
      </w:tblGrid>
      <w:tr>
        <w:trPr>
          <w:trHeight w:val="2190" w:hRule="atLeast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ar336"/>
            <w:bookmarkEnd w:id="13"/>
            <w:r>
              <w:rPr>
                <w:rFonts w:cs="Times New Roman" w:ascii="Times New Roman" w:hAnsi="Times New Roman"/>
                <w:sz w:val="24"/>
                <w:szCs w:val="24"/>
              </w:rPr>
              <w:t>5.1. Наименование функции (полномочия, обязанности или права)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5.2. Характер функции (новая /изменяемая/отменяемая)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5.3. Предполагаемый порядок реализации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5.4. 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5.5. Оценка изменения потребностей в других ресурсах</w:t>
            </w:r>
          </w:p>
        </w:tc>
      </w:tr>
      <w:tr>
        <w:trPr>
          <w:trHeight w:val="309" w:hRule="atLeast"/>
        </w:trPr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Администрация муниципального образования Курганинский район</w:t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Предоставление Услуги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Изменяемая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Предоставление Услуги включает в себя следующие административные процедуры: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1) профилирование заяви-теля;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2) прием запроса и доку-ментов и (или) информации, необходимых для предоставления Услуги;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3) информационное межведомственное взаимодей-ствие;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4) оценка документов и  сведений, направленных заявителем на предмет их соответствия требованиям законодательства Российской Федерации;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5) принятие решения о предоставлении (об отказе в предоставлении) Услуги;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6) предоставление результата Услуги.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105pt"/>
                <w:rFonts w:eastAsia="Calibri" w:eastAsiaTheme="minorHAnsi"/>
                <w:sz w:val="24"/>
                <w:szCs w:val="24"/>
              </w:rPr>
              <w:t>Предполагается, что объем трудовых затрат не изменится, так как реализация функции (обязанности, полномочия) предполагается в пределах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/>
            </w:pPr>
            <w:r>
              <w:rPr>
                <w:rStyle w:val="105pt"/>
                <w:rFonts w:eastAsia="Calibri" w:eastAsiaTheme="minorHAnsi"/>
                <w:sz w:val="24"/>
                <w:szCs w:val="24"/>
              </w:rPr>
              <w:t xml:space="preserve"> </w:t>
            </w:r>
            <w:r>
              <w:rPr>
                <w:rStyle w:val="105pt"/>
                <w:rFonts w:eastAsia="Calibri" w:eastAsiaTheme="minorHAnsi"/>
                <w:sz w:val="24"/>
                <w:szCs w:val="24"/>
              </w:rPr>
              <w:t>штатной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/>
            </w:pPr>
            <w:r>
              <w:rPr>
                <w:rStyle w:val="105pt"/>
                <w:rFonts w:eastAsia="Calibri" w:eastAsiaTheme="minorHAnsi"/>
                <w:sz w:val="24"/>
                <w:szCs w:val="24"/>
              </w:rPr>
              <w:t>численности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/>
            </w:pPr>
            <w:r>
              <w:rPr>
                <w:rStyle w:val="105pt"/>
                <w:rFonts w:eastAsia="Calibri" w:eastAsiaTheme="minorHAnsi"/>
                <w:sz w:val="24"/>
                <w:szCs w:val="24"/>
              </w:rPr>
              <w:t>сотрудников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отсутствует</w:t>
            </w:r>
          </w:p>
        </w:tc>
      </w:tr>
    </w:tbl>
    <w:p>
      <w:pPr>
        <w:pStyle w:val="ConsPlusNormal"/>
        <w:numPr>
          <w:ilvl w:val="0"/>
          <w:numId w:val="0"/>
        </w:numPr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14" w:name="Par364"/>
      <w:bookmarkStart w:id="15" w:name="Par364"/>
      <w:bookmarkEnd w:id="15"/>
    </w:p>
    <w:p>
      <w:pPr>
        <w:pStyle w:val="ConsPlusNormal"/>
        <w:numPr>
          <w:ilvl w:val="0"/>
          <w:numId w:val="0"/>
        </w:numPr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 Оценка дополнительных расходов (доходов) районного бюджета (бюджета муниципального образования Курганинский район, связанных                        с введением предлагаемого правового регулирования:</w:t>
      </w:r>
    </w:p>
    <w:p>
      <w:pPr>
        <w:pStyle w:val="ConsPlusNormal"/>
        <w:numPr>
          <w:ilvl w:val="0"/>
          <w:numId w:val="0"/>
        </w:numPr>
        <w:ind w:firstLine="709"/>
        <w:jc w:val="both"/>
        <w:outlineLvl w:val="2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дополнительные расходы районного бюджета (бюджета муниципального образования Курганинский район), связанные с введением предлагаемого правового регулирования отсутствуют.</w:t>
      </w:r>
    </w:p>
    <w:p>
      <w:pPr>
        <w:pStyle w:val="ConsPlusNormal"/>
        <w:numPr>
          <w:ilvl w:val="0"/>
          <w:numId w:val="0"/>
        </w:numPr>
        <w:ind w:firstLine="709"/>
        <w:jc w:val="both"/>
        <w:outlineLvl w:val="2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Дополнительные доходы районного бюджета (бюджета муниципального образования Курганинский район), связанные с введением предлагаемого правового регулирования, отсутствуют.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6.1. Другие сведения о дополнительных расходах (доходах) районного бюджета (бюджета муниципального образования Курганинский район), возникающих в связи с введением предлагаемого правового регулирования:</w:t>
      </w:r>
    </w:p>
    <w:p>
      <w:pPr>
        <w:pStyle w:val="ConsPlusNonformat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отсутствуют.</w:t>
      </w:r>
    </w:p>
    <w:p>
      <w:pPr>
        <w:pStyle w:val="ConsPlusNonformat"/>
        <w:ind w:firstLine="709"/>
        <w:jc w:val="both"/>
        <w:rPr>
          <w:rFonts w:eastAsiaTheme="minorEastAsia"/>
          <w:highlight w:val="none"/>
          <w:shd w:fill="auto" w:val="clear"/>
        </w:rPr>
      </w:pPr>
      <w:r>
        <w:rPr>
          <w:rFonts w:cs="Times New Roman" w:eastAsiaTheme="minorEastAsia" w:ascii="Times New Roman" w:hAnsi="Times New Roman"/>
          <w:sz w:val="28"/>
          <w:szCs w:val="28"/>
          <w:shd w:fill="auto" w:val="clear"/>
        </w:rPr>
        <w:t>6.2. Источники данных: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  </w:t>
      </w:r>
      <w:r>
        <w:rPr>
          <w:rFonts w:cs="Times New Roman" w:ascii="Times New Roman" w:hAnsi="Times New Roman"/>
          <w:color w:val="000000"/>
          <w:sz w:val="28"/>
          <w:szCs w:val="28"/>
        </w:rPr>
        <w:t>отсутствуют.</w:t>
      </w:r>
    </w:p>
    <w:p>
      <w:pPr>
        <w:pStyle w:val="ConsPlusNormal"/>
        <w:numPr>
          <w:ilvl w:val="0"/>
          <w:numId w:val="0"/>
        </w:numPr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6" w:name="Par400"/>
      <w:bookmarkEnd w:id="16"/>
      <w:r>
        <w:rPr>
          <w:rFonts w:cs="Times New Roman" w:ascii="Times New Roman" w:hAnsi="Times New Roman"/>
          <w:sz w:val="28"/>
          <w:szCs w:val="28"/>
        </w:rPr>
        <w:t xml:space="preserve"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 </w:t>
      </w:r>
    </w:p>
    <w:tbl>
      <w:tblPr>
        <w:tblW w:w="9610" w:type="dxa"/>
        <w:jc w:val="left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2439"/>
        <w:gridCol w:w="3626"/>
        <w:gridCol w:w="2017"/>
        <w:gridCol w:w="1527"/>
      </w:tblGrid>
      <w:tr>
        <w:trPr>
          <w:trHeight w:val="2340" w:hRule="atLeast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7.1. Группы потенциальных адресатов предлагаемого правового регулирования (в соответствии с подпунктом 4.1 пункта 4 настоящего сводного отчета)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7.2. 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муниципального нормативного правового акта)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7.4. Количественная оценка, млн. рублей</w:t>
            </w:r>
          </w:p>
        </w:tc>
      </w:tr>
      <w:tr>
        <w:trPr>
          <w:trHeight w:val="2129" w:hRule="atLeast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физические лица, в том числе зарегистрированные в качестве индивидуальных предпринимателей, юридические лица или их уполномоченные представители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Основанием для предоставления Услуги является подача заявителем запроса о предоставлении Услуги.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Расходы на предоставление заявления и прилагаемых документов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0,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00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2010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 на одного заявителя или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0,06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8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 на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34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 заявител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я</w:t>
            </w:r>
          </w:p>
        </w:tc>
      </w:tr>
    </w:tbl>
    <w:p>
      <w:pPr>
        <w:pStyle w:val="ConsPlusNormal"/>
        <w:numPr>
          <w:ilvl w:val="0"/>
          <w:numId w:val="0"/>
        </w:numPr>
        <w:ind w:firstLine="540"/>
        <w:jc w:val="both"/>
        <w:outlineLvl w:val="2"/>
        <w:rPr/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В соответствии с Методикой оценки стандартных издержек субъектов предпринимательской и иной экономической деятельности, возникающих                   в связи с исполнением требований регулирования, утвержденной приказом Минэкономразвития России от 1 февраля 2024 г. № 54, информационные                 издержки регулирования включают в себя затраты на подготовку, сбор                         и представление информации (документов, сведений) в соответствии с требованиями проекта.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1) </w:t>
      </w:r>
      <w:r>
        <w:rPr>
          <w:rFonts w:cs="Times New Roman" w:ascii="Times New Roman" w:hAnsi="Times New Roman"/>
          <w:color w:val="000000"/>
          <w:sz w:val="28"/>
          <w:szCs w:val="28"/>
        </w:rPr>
        <w:t>Расчет издержек на подготовку и представление за</w:t>
      </w:r>
      <w:r>
        <w:rPr>
          <w:rFonts w:cs="Times New Roman" w:ascii="Times New Roman" w:hAnsi="Times New Roman"/>
          <w:color w:val="000000"/>
          <w:sz w:val="28"/>
          <w:szCs w:val="28"/>
        </w:rPr>
        <w:t>явления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 и документов: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название требования: </w:t>
      </w:r>
      <w:r>
        <w:rPr>
          <w:rFonts w:cs="Times New Roman" w:ascii="Times New Roman" w:hAnsi="Times New Roman"/>
          <w:color w:val="000000"/>
          <w:sz w:val="28"/>
          <w:szCs w:val="28"/>
        </w:rPr>
        <w:t>временные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издержки </w:t>
      </w:r>
      <w:r>
        <w:rPr>
          <w:rFonts w:cs="Times New Roman" w:ascii="Times New Roman" w:hAnsi="Times New Roman"/>
          <w:color w:val="000000"/>
          <w:sz w:val="28"/>
          <w:szCs w:val="28"/>
        </w:rPr>
        <w:t>на представление заявления                и документов;</w:t>
      </w:r>
    </w:p>
    <w:p>
      <w:pPr>
        <w:pStyle w:val="Normal"/>
        <w:spacing w:lineRule="auto" w:line="240" w:before="0" w:after="0"/>
        <w:ind w:firstLine="709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тип требования: предоставление информации;</w:t>
      </w:r>
    </w:p>
    <w:p>
      <w:pPr>
        <w:pStyle w:val="Normal"/>
        <w:spacing w:lineRule="auto" w:line="240" w:before="0" w:after="0"/>
        <w:ind w:firstLine="709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раздел требования: информационное;</w:t>
      </w:r>
    </w:p>
    <w:p>
      <w:pPr>
        <w:pStyle w:val="Normal"/>
        <w:spacing w:lineRule="auto" w:line="240" w:before="0" w:after="0"/>
        <w:ind w:firstLine="709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действия:</w:t>
      </w:r>
    </w:p>
    <w:p>
      <w:pPr>
        <w:pStyle w:val="Normal"/>
        <w:spacing w:lineRule="auto" w:line="240" w:before="0" w:after="0"/>
        <w:ind w:firstLine="709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н</w:t>
      </w:r>
      <w:r>
        <w:rPr>
          <w:rFonts w:cs="Times New Roman" w:ascii="Times New Roman" w:hAnsi="Times New Roman"/>
          <w:color w:val="000000"/>
          <w:sz w:val="28"/>
          <w:szCs w:val="28"/>
        </w:rPr>
        <w:t>аписание любого документа низкого уровня сложности (менее 5 стр. печатного текста) - 1 чел./часов.</w:t>
      </w:r>
    </w:p>
    <w:p>
      <w:pPr>
        <w:pStyle w:val="Normal"/>
        <w:spacing w:lineRule="auto" w:line="240" w:before="0" w:after="0"/>
        <w:ind w:firstLine="72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к</w:t>
      </w:r>
      <w:r>
        <w:rPr>
          <w:rFonts w:cs="Times New Roman" w:ascii="Times New Roman" w:hAnsi="Times New Roman"/>
          <w:color w:val="000000"/>
          <w:sz w:val="28"/>
          <w:szCs w:val="28"/>
        </w:rPr>
        <w:t>опирование документов – 1 чел./часов.</w:t>
      </w:r>
    </w:p>
    <w:p>
      <w:pPr>
        <w:pStyle w:val="Normal"/>
        <w:spacing w:lineRule="auto" w:line="240" w:before="0" w:after="0"/>
        <w:ind w:firstLine="72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п</w:t>
      </w:r>
      <w:r>
        <w:rPr>
          <w:rFonts w:cs="Times New Roman" w:ascii="Times New Roman" w:hAnsi="Times New Roman"/>
          <w:color w:val="000000"/>
          <w:sz w:val="28"/>
          <w:szCs w:val="28"/>
        </w:rPr>
        <w:t>одача заявления – 1 чел./час.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Среднемесячная заработная плата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по Краснодарскому краю за 2025 г.: 80518 руб.</w:t>
      </w:r>
    </w:p>
    <w:p>
      <w:pPr>
        <w:pStyle w:val="22"/>
        <w:widowControl w:val="false"/>
        <w:shd w:val="clear" w:color="auto" w:fill="auto"/>
        <w:suppressAutoHyphens w:val="true"/>
        <w:spacing w:lineRule="auto" w:line="240" w:before="0" w:after="0"/>
        <w:ind w:firstLine="709"/>
        <w:jc w:val="both"/>
        <w:rPr/>
      </w:pPr>
      <w:r>
        <w:rPr>
          <w:rStyle w:val="111"/>
          <w:rFonts w:eastAsia="Times New Roman" w:cs="Times New Roman"/>
          <w:bCs/>
          <w:sz w:val="28"/>
          <w:szCs w:val="28"/>
          <w:shd w:fill="auto" w:val="clear"/>
        </w:rPr>
        <w:t>Средняя стоимость часа работы:</w:t>
      </w:r>
      <w:r>
        <w:rPr>
          <w:rStyle w:val="111"/>
          <w:rFonts w:eastAsia="Times New Roman" w:cs="Times New Roman"/>
          <w:bCs/>
          <w:sz w:val="28"/>
          <w:szCs w:val="28"/>
          <w:shd w:fill="auto" w:val="clear"/>
        </w:rPr>
        <w:t xml:space="preserve"> </w:t>
      </w:r>
      <w:r>
        <w:rPr>
          <w:rStyle w:val="111"/>
          <w:rFonts w:eastAsia="Times New Roman" w:cs="Times New Roman"/>
          <w:bCs/>
          <w:sz w:val="28"/>
          <w:szCs w:val="28"/>
          <w:shd w:fill="auto" w:val="clear"/>
        </w:rPr>
        <w:t xml:space="preserve">489,05 </w:t>
      </w:r>
      <w:r>
        <w:rPr>
          <w:rStyle w:val="111"/>
          <w:rFonts w:eastAsia="Times New Roman" w:cs="Times New Roman"/>
          <w:bCs/>
          <w:sz w:val="28"/>
          <w:szCs w:val="28"/>
          <w:shd w:fill="auto" w:val="clear"/>
        </w:rPr>
        <w:t>руб.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>К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оэффициент налоговых отчислений и иных обязательных платежей, связанных с оплатой труда штатных работнико</w:t>
      </w:r>
      <w:r>
        <w:rPr>
          <w:rFonts w:cs="Times New Roman" w:ascii="Times New Roman" w:hAnsi="Times New Roman"/>
          <w:bCs/>
          <w:color w:val="000000"/>
          <w:sz w:val="28"/>
          <w:szCs w:val="28"/>
          <w:shd w:fill="auto" w:val="clear"/>
        </w:rPr>
        <w:t>в: 1,302;</w:t>
      </w:r>
    </w:p>
    <w:p>
      <w:pPr>
        <w:pStyle w:val="Normal"/>
        <w:spacing w:lineRule="auto" w:line="240" w:before="0" w:after="0"/>
        <w:ind w:firstLine="709"/>
        <w:rPr/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частота представления: 1 ед.;   </w:t>
      </w:r>
    </w:p>
    <w:p>
      <w:pPr>
        <w:pStyle w:val="Normal"/>
        <w:spacing w:lineRule="auto" w:line="240" w:before="0" w:after="0"/>
        <w:ind w:firstLine="709"/>
        <w:rPr/>
      </w:pPr>
      <w:r>
        <w:rPr>
          <w:rFonts w:cs="Times New Roman" w:ascii="Times New Roman" w:hAnsi="Times New Roman"/>
          <w:bCs/>
          <w:color w:val="000000"/>
          <w:sz w:val="28"/>
          <w:szCs w:val="28"/>
          <w:shd w:fill="auto" w:val="clear"/>
        </w:rPr>
        <w:t>р</w:t>
      </w:r>
      <w:r>
        <w:rPr>
          <w:rFonts w:cs="Times New Roman" w:ascii="Times New Roman" w:hAnsi="Times New Roman"/>
          <w:bCs/>
          <w:color w:val="000000"/>
          <w:sz w:val="28"/>
          <w:szCs w:val="28"/>
          <w:shd w:fill="auto" w:val="clear"/>
        </w:rPr>
        <w:t xml:space="preserve">асчет стоимости требования: (1 чел./час+1 чел./час+1 чел./час.)*489,05 руб.*1,302=1910,23 руб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в расчете на одного потенциального адресата.</w:t>
      </w:r>
    </w:p>
    <w:p>
      <w:pPr>
        <w:pStyle w:val="Normal"/>
        <w:spacing w:lineRule="auto" w:line="240" w:before="0" w:after="0"/>
        <w:ind w:firstLine="72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Стоимость требования в расч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ете  на  группу потенциальных адресатов:</w:t>
      </w:r>
    </w:p>
    <w:p>
      <w:pPr>
        <w:pStyle w:val="Normal"/>
        <w:spacing w:lineRule="auto" w:line="240" w:before="0" w:after="0"/>
        <w:ind w:firstLine="720"/>
        <w:rPr/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Масштаб субъектов</w:t>
      </w:r>
      <w:r>
        <w:rPr>
          <w:rFonts w:cs="Times New Roman" w:ascii="Times New Roman" w:hAnsi="Times New Roman"/>
          <w:color w:val="000000"/>
          <w:sz w:val="28"/>
          <w:szCs w:val="28"/>
        </w:rPr>
        <w:t>: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34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ед.</w:t>
      </w:r>
    </w:p>
    <w:p>
      <w:pPr>
        <w:pStyle w:val="Normal"/>
        <w:spacing w:lineRule="auto" w:line="240" w:before="0" w:after="0"/>
        <w:ind w:firstLine="72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1910,23 руб.*</w:t>
      </w:r>
      <w:r>
        <w:rPr>
          <w:rFonts w:cs="Times New Roman" w:ascii="Times New Roman" w:hAnsi="Times New Roman"/>
          <w:color w:val="000000"/>
          <w:sz w:val="28"/>
          <w:szCs w:val="28"/>
        </w:rPr>
        <w:t>34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ед.=</w:t>
      </w:r>
      <w:r>
        <w:rPr>
          <w:rFonts w:cs="Times New Roman" w:ascii="Times New Roman" w:hAnsi="Times New Roman"/>
          <w:color w:val="000000"/>
          <w:sz w:val="28"/>
          <w:szCs w:val="28"/>
        </w:rPr>
        <w:t>64947,82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руб. в расчете н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а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34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по</w:t>
      </w:r>
      <w:r>
        <w:rPr>
          <w:rFonts w:cs="Times New Roman" w:ascii="Times New Roman" w:hAnsi="Times New Roman"/>
          <w:color w:val="000000"/>
          <w:sz w:val="28"/>
          <w:szCs w:val="28"/>
        </w:rPr>
        <w:t>тенциальных адресатов.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2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2) </w:t>
      </w:r>
      <w:r>
        <w:rPr>
          <w:rFonts w:cs="Times New Roman" w:ascii="Times New Roman" w:hAnsi="Times New Roman"/>
          <w:color w:val="000000"/>
          <w:sz w:val="28"/>
          <w:szCs w:val="28"/>
        </w:rPr>
        <w:t>Расчет издержек на приобретение расходных материалов: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название требования: </w:t>
      </w:r>
      <w:r>
        <w:rPr>
          <w:rFonts w:cs="Times New Roman" w:ascii="Times New Roman" w:hAnsi="Times New Roman"/>
          <w:color w:val="000000"/>
          <w:sz w:val="28"/>
          <w:szCs w:val="28"/>
        </w:rPr>
        <w:t>издержки, связанные с приобретением расходных материалов для представления заявлений и докуме</w:t>
      </w:r>
      <w:r>
        <w:rPr>
          <w:rFonts w:cs="Times New Roman" w:ascii="Times New Roman" w:hAnsi="Times New Roman"/>
          <w:color w:val="000000"/>
          <w:sz w:val="28"/>
          <w:szCs w:val="28"/>
        </w:rPr>
        <w:t>нтов;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тип требования: издержки, связанные с приобретением;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раздел требования: информационное;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</w:t>
      </w:r>
      <w:r>
        <w:rPr>
          <w:rFonts w:cs="Times New Roman" w:ascii="Times New Roman" w:hAnsi="Times New Roman"/>
          <w:color w:val="000000"/>
          <w:sz w:val="28"/>
          <w:szCs w:val="28"/>
        </w:rPr>
        <w:t>список приобретений: расходные материалы и канцелярские товары -                100 руб.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частота приобретения: 1 ед.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</w:r>
      <w:r>
        <w:rPr>
          <w:rFonts w:cs="Times New Roman" w:ascii="Times New Roman" w:hAnsi="Times New Roman"/>
          <w:color w:val="000000"/>
          <w:sz w:val="28"/>
          <w:szCs w:val="28"/>
        </w:rPr>
        <w:t>Стоимость требования в расчете на одного потенциального адресата:              100 руб.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Стоимость требования в расчете на</w:t>
        <w:tab/>
        <w:t>группу потенциальных адресатов: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масштаб субъектов: 34 ед.;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100 руб.*34 ед.=3400 рублей в расчете на 34 потенциальных адресата.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 xml:space="preserve">3) </w:t>
      </w:r>
      <w:r>
        <w:rPr>
          <w:rFonts w:cs="Times New Roman" w:ascii="Times New Roman" w:hAnsi="Times New Roman"/>
          <w:color w:val="000000"/>
          <w:sz w:val="28"/>
          <w:szCs w:val="28"/>
        </w:rPr>
        <w:t>Общий размер информационных издержек на соблюдение требований, предусмотренных проектов в расчете на 1 потенциального адресата: 1910,23 руб.+100 руб. =2010,23 руб.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 xml:space="preserve">Общий размер информационных издержек на соблюдение требований, предусмотренных проектов в расчете на </w:t>
      </w:r>
      <w:r>
        <w:rPr>
          <w:rFonts w:cs="Times New Roman" w:ascii="Times New Roman" w:hAnsi="Times New Roman"/>
          <w:color w:val="000000"/>
          <w:sz w:val="28"/>
          <w:szCs w:val="28"/>
        </w:rPr>
        <w:t>группу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потенциальн</w:t>
      </w:r>
      <w:r>
        <w:rPr>
          <w:rFonts w:cs="Times New Roman" w:ascii="Times New Roman" w:hAnsi="Times New Roman"/>
          <w:color w:val="000000"/>
          <w:sz w:val="28"/>
          <w:szCs w:val="28"/>
        </w:rPr>
        <w:t>ых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адресат</w:t>
      </w:r>
      <w:r>
        <w:rPr>
          <w:rFonts w:cs="Times New Roman" w:ascii="Times New Roman" w:hAnsi="Times New Roman"/>
          <w:color w:val="000000"/>
          <w:sz w:val="28"/>
          <w:szCs w:val="28"/>
        </w:rPr>
        <w:t>ов</w:t>
      </w:r>
      <w:r>
        <w:rPr>
          <w:rFonts w:cs="Times New Roman" w:ascii="Times New Roman" w:hAnsi="Times New Roman"/>
          <w:color w:val="000000"/>
          <w:sz w:val="28"/>
          <w:szCs w:val="28"/>
        </w:rPr>
        <w:t>: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масштаб субъектов: 34 ед.;</w:t>
      </w:r>
      <w:r>
        <w:rPr>
          <w:rFonts w:cs="Times New Roman" w:ascii="Times New Roman" w:hAnsi="Times New Roman"/>
          <w:color w:val="000000"/>
          <w:sz w:val="28"/>
          <w:szCs w:val="28"/>
        </w:rPr>
        <w:tab/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</w:r>
      <w:r>
        <w:rPr>
          <w:rFonts w:cs="Times New Roman" w:ascii="Times New Roman" w:hAnsi="Times New Roman"/>
          <w:color w:val="000000"/>
          <w:sz w:val="28"/>
          <w:szCs w:val="28"/>
        </w:rPr>
        <w:t>2010,23 руб.*34 ед=68347,82 руб. в расчете на 34 потенциальных адресата.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7.5. Издержки и выгоды адресатов предлагаемого правового регулирования, не поддающиеся количественной оценке: </w:t>
      </w:r>
    </w:p>
    <w:p>
      <w:pPr>
        <w:pStyle w:val="ConsPlusNonformat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издержки адресатов предлагаемого правового регулирования,                             не поддающиеся количественной оценке, отсутствуют.</w:t>
      </w:r>
    </w:p>
    <w:p>
      <w:pPr>
        <w:pStyle w:val="ConsPlusNonformat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Выгодой адресатов предлагаемого правового регулирования,                              не поддающиеся количественной оценке, является осуществление предпринимательской деятельности в соответствии с действующим законодательством.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7.6. Источники данных: предлагаемое правовое регулирование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bookmarkStart w:id="17" w:name="Par429"/>
      <w:bookmarkEnd w:id="17"/>
      <w:r>
        <w:rPr>
          <w:rFonts w:cs="Times New Roman" w:ascii="Times New Roman" w:hAnsi="Times New Roman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48" w:type="dxa"/>
        <w:jc w:val="left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1563"/>
        <w:gridCol w:w="3675"/>
        <w:gridCol w:w="1648"/>
        <w:gridCol w:w="2661"/>
      </w:tblGrid>
      <w:tr>
        <w:trPr/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8.1. Виды рисков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8.4. Степень контроля рисков (полный/частичный/отсутствует)</w:t>
            </w:r>
          </w:p>
        </w:tc>
      </w:tr>
      <w:tr>
        <w:trPr/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отсутствуют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нет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нет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отсутствуют</w:t>
            </w:r>
          </w:p>
        </w:tc>
      </w:tr>
    </w:tbl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8.5. Источники данных: отсутствуют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ConsPlusNormal"/>
        <w:numPr>
          <w:ilvl w:val="0"/>
          <w:numId w:val="0"/>
        </w:numPr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781" w:type="dxa"/>
        <w:jc w:val="left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4380"/>
        <w:gridCol w:w="2850"/>
        <w:gridCol w:w="2551"/>
      </w:tblGrid>
      <w:tr>
        <w:trPr/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Вариант 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Вариант 2</w:t>
            </w:r>
          </w:p>
        </w:tc>
      </w:tr>
      <w:tr>
        <w:trPr>
          <w:trHeight w:val="287" w:hRule="atLeast"/>
        </w:trPr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9.1. Содержание варианта решения проблемы:</w:t>
            </w:r>
          </w:p>
          <w:p>
            <w:pPr>
              <w:pStyle w:val="ListParagraph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Принятие муниципального нормативного правового акта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Непринятие муниципального нормативного правового акта</w:t>
            </w:r>
          </w:p>
        </w:tc>
      </w:tr>
      <w:tr>
        <w:trPr/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/>
            </w:pPr>
            <w:r>
              <w:rPr>
                <w:rStyle w:val="111"/>
                <w:rFonts w:cs="Times New Roman"/>
                <w:bCs/>
                <w:sz w:val="24"/>
                <w:szCs w:val="24"/>
                <w:shd w:fill="auto" w:val="clear"/>
              </w:rPr>
              <w:t>Заявителями в</w:t>
            </w:r>
          </w:p>
          <w:p>
            <w:pPr>
              <w:pStyle w:val="Normal"/>
              <w:suppressAutoHyphens w:val="true"/>
              <w:spacing w:before="0" w:after="0"/>
              <w:jc w:val="both"/>
              <w:rPr/>
            </w:pPr>
            <w:r>
              <w:rPr>
                <w:rStyle w:val="111"/>
                <w:rFonts w:cs="Times New Roman"/>
                <w:bCs/>
                <w:sz w:val="24"/>
                <w:szCs w:val="24"/>
                <w:shd w:fill="auto" w:val="clear"/>
              </w:rPr>
              <w:t>соответствии с Проектом МПА являются физические лица, в том числе зарегистрированные в качестве индивидуальных предпринимателей, юридические лица или их уполномоченные представители Вместе с тем, в 2025 году за предоставлением муниципальной услуги обратилось 34 заявителей.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Без изменений</w:t>
            </w:r>
          </w:p>
        </w:tc>
      </w:tr>
      <w:tr>
        <w:trPr/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>
                <w:rStyle w:val="111"/>
                <w:rFonts w:cs="Times New Roman"/>
                <w:sz w:val="24"/>
                <w:szCs w:val="28"/>
                <w:shd w:fill="auto" w:val="clear"/>
              </w:rPr>
              <w:t xml:space="preserve">Ориентировочно расходы, связанные                        с введением предлагаемого правового регулирования составят </w:t>
            </w:r>
            <w:r>
              <w:rPr>
                <w:rStyle w:val="111"/>
                <w:rFonts w:cs="Times New Roman"/>
                <w:sz w:val="24"/>
                <w:szCs w:val="28"/>
                <w:shd w:fill="auto" w:val="clear"/>
              </w:rPr>
              <w:t>2010,23</w:t>
            </w:r>
            <w:r>
              <w:rPr>
                <w:rStyle w:val="111"/>
                <w:rFonts w:cs="Times New Roman"/>
                <w:sz w:val="24"/>
                <w:szCs w:val="28"/>
                <w:shd w:fill="auto" w:val="clear"/>
              </w:rPr>
              <w:t xml:space="preserve"> руб. в расчете на одного заявителя, или  ру</w:t>
            </w:r>
            <w:r>
              <w:rPr>
                <w:rStyle w:val="111"/>
                <w:rFonts w:eastAsia="" w:cs="Times New Roman"/>
                <w:sz w:val="24"/>
                <w:szCs w:val="28"/>
                <w:shd w:fill="auto" w:val="clear"/>
              </w:rPr>
              <w:t>б. 68347,82 в расчете на группу ад</w:t>
            </w:r>
            <w:r>
              <w:rPr>
                <w:rStyle w:val="111"/>
                <w:rFonts w:cs="Times New Roman"/>
                <w:sz w:val="24"/>
                <w:szCs w:val="28"/>
                <w:shd w:fill="auto" w:val="clear"/>
              </w:rPr>
              <w:t>ресатов предлагаемого правового регулирования                       (34 заявителя)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Без изменений</w:t>
            </w:r>
          </w:p>
        </w:tc>
      </w:tr>
      <w:tr>
        <w:trPr/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9.4. Оценка расходов (доходов) районного бюджета (бюджета муниципального образования Курганинский район), связанных с введением предлагаемого правового регулирования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Расходы (доходы) не предполагаются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Расходы (доходы) не предполагаются</w:t>
            </w:r>
          </w:p>
        </w:tc>
      </w:tr>
      <w:tr>
        <w:trPr/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9.5. Оценка возможности достижения заявленных целей регулирования (пункт 3 настоящего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Заявленные цели будут достигнуты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Заявленные цели достигнуты не будут</w:t>
            </w:r>
          </w:p>
        </w:tc>
      </w:tr>
      <w:tr>
        <w:trPr/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9.6. Оценка рисков неблагоприятных последствий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отсутствует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Риск недостижения целей</w:t>
            </w:r>
          </w:p>
        </w:tc>
      </w:tr>
    </w:tbl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9.7. Обоснование выбора предпочтительного варианта решения выявленной проблемы: 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выбор варианта правового регулирования сделан исходя из оценки возможности достижения заявленных целей регулирования и оценки рисков наступления неблагоприятных последствий. Выявленная проблема может быть решена посредством ведения предлагаемого правового регулирования.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9.8. Детальное описание предлагаемого варианта решения проблемы: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hanging="0"/>
        <w:jc w:val="both"/>
        <w:outlineLvl w:val="0"/>
        <w:rPr/>
      </w:pPr>
      <w:r>
        <w:rPr>
          <w:rFonts w:cs="Times New Roman" w:ascii="Times New Roman" w:hAnsi="Times New Roman"/>
          <w:sz w:val="28"/>
          <w:szCs w:val="28"/>
        </w:rPr>
        <w:t xml:space="preserve">рассматриваемым Проектом МПА предлагается привести Регламент                              в соответствие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требованиями федерального законодательства, а именно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статьи 57.3 Градостроительного кодекса </w:t>
      </w:r>
      <w:bookmarkStart w:id="18" w:name="_Hlk230867598_Копия_1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Российской Федерации</w:t>
      </w:r>
      <w:bookmarkEnd w:id="18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постановления Правительства Российской Федерации от 20 июля 2021 г. № 1228                             «Об утверждении Правил разработки и утверждения административных регламентов предоставления государственных услуг, о внесении изменений                  в некоторые акты правительства Российской Федерации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 признании утратившими силу некоторых актов и отдельных положений актов Правительства Российской Федерации» и Регламент.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firstLine="709"/>
        <w:jc w:val="both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Проектом МПА предусмотрена новая форма административного регламента предоставления Услуги.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firstLine="709"/>
        <w:jc w:val="both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Признать утратившими силу: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firstLine="709"/>
        <w:jc w:val="both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постановление администрации муниципального образования Курганинский район от 29 января 2018 г. № 68 «Об утверждении административного регламента по предоставлению муниципальной услуги «Выдача градостроительных планов земельных участков»;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firstLine="709"/>
        <w:jc w:val="both"/>
        <w:outlineLvl w:val="0"/>
        <w:rPr>
          <w:rFonts w:eastAsiaTheme="minorEastAsia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ru-RU"/>
        </w:rPr>
        <w:t>постановление администрации муниципального образования Курганинский район Краснодарского края от 08 августа 2022 г. № 793                            «О внесении изменений в постановление администрации муниципального образования Курганинский район от 29 января 2018 г. № 68 «Об утверждении административного регламента по предоставлению муниципальной услуги «Выдача градостроительных планов земельных участков».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 Оценка необходимости установления переходного периода и (или) отсрочки вступления в силу муниципального нормативного правового акта либо необходимость распространения предлагаемого правового регулирования на ранее возникшие отношения:</w:t>
      </w:r>
    </w:p>
    <w:p>
      <w:pPr>
        <w:pStyle w:val="ConsPlusNonformat"/>
        <w:tabs>
          <w:tab w:val="clear" w:pos="708"/>
          <w:tab w:val="left" w:pos="1134" w:leader="none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10.1. Предполагаемая дата вступления в силу муниципального нормативного правового акта: сентябрь 2026 г.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10.2. Необходимость установления переходного периода и (или) отсрочки введения предлагаемого правового регулирования: нет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10.3. Необходимость распространения предлагаемого правового регулирования на ранее возникшие отношения: нет.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10.4. Обоснование необходимости установления переходного периода                и (или) отсрочки вступления в силу муниципального нормативного правового акта либо необходимости распространения предлагаемого правового регулирования на ранее возникшие отношения: не требуется.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Начальник управления архитектуры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 градостроительства, главный архитектор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Курганинский район                                                                                 Е.В. Перкин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720" w:top="1134" w:footer="0" w:bottom="993"/>
      <w:pgNumType w:fmt="decimal"/>
      <w:formProt w:val="false"/>
      <w:titlePg/>
      <w:textDirection w:val="lrTb"/>
      <w:docGrid w:type="default" w:linePitch="299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swiss"/>
    <w:pitch w:val="variable"/>
  </w:font>
  <w:font w:name="Courier New">
    <w:charset w:val="01"/>
    <w:family w:val="roman"/>
    <w:pitch w:val="variable"/>
  </w:font>
  <w:font w:name="Cambria Math">
    <w:charset w:val="01"/>
    <w:family w:val="roman"/>
    <w:pitch w:val="variable"/>
  </w:font>
  <w:font w:name="Arial">
    <w:charset w:val="01"/>
    <w:family w:val="swiss"/>
    <w:pitch w:val="variable"/>
  </w:font>
  <w:font w:name="Verdana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625004918"/>
    </w:sdtPr>
    <w:sdtContent>
      <w:p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12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95" w:hanging="49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921" w:hanging="495"/>
      </w:pPr>
      <w:rPr>
        <w:sz w:val="28"/>
        <w:szCs w:val="28"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5"/>
      <w:numFmt w:val="decimal"/>
      <w:lvlText w:val="%1.%2."/>
      <w:lvlJc w:val="left"/>
      <w:pPr>
        <w:tabs>
          <w:tab w:val="num" w:pos="0"/>
        </w:tabs>
        <w:ind w:left="1146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7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56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782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568" w:hanging="21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65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1"/>
    <w:qFormat/>
    <w:rsid w:val="00b64c22"/>
    <w:pPr>
      <w:keepNext w:val="true"/>
      <w:spacing w:lineRule="auto" w:line="240" w:before="240" w:after="60"/>
      <w:outlineLvl w:val="0"/>
    </w:pPr>
    <w:rPr>
      <w:rFonts w:ascii="Cambria" w:hAnsi="Cambria" w:eastAsia="Times New Roman" w:cs="Times New Roman"/>
      <w:b/>
      <w:bCs/>
      <w:kern w:val="2"/>
      <w:sz w:val="32"/>
      <w:szCs w:val="32"/>
      <w:lang w:val="x-none" w:eastAsia="ru-RU"/>
    </w:rPr>
  </w:style>
  <w:style w:type="paragraph" w:styleId="Heading3">
    <w:name w:val="heading 3"/>
    <w:basedOn w:val="Normal"/>
    <w:next w:val="Normal"/>
    <w:link w:val="31"/>
    <w:uiPriority w:val="9"/>
    <w:semiHidden/>
    <w:unhideWhenUsed/>
    <w:qFormat/>
    <w:rsid w:val="00634564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сновной текст Знак1"/>
    <w:basedOn w:val="DefaultParagraphFont"/>
    <w:uiPriority w:val="99"/>
    <w:qFormat/>
    <w:locked/>
    <w:rsid w:val="006f1d4f"/>
    <w:rPr>
      <w:rFonts w:ascii="Times New Roman" w:hAnsi="Times New Roman" w:cs="Times New Roman"/>
      <w:spacing w:val="1"/>
      <w:sz w:val="25"/>
      <w:szCs w:val="25"/>
      <w:shd w:fill="FFFFFF" w:val="clear"/>
    </w:rPr>
  </w:style>
  <w:style w:type="character" w:styleId="Style12" w:customStyle="1">
    <w:name w:val="Основной текст Знак"/>
    <w:basedOn w:val="DefaultParagraphFont"/>
    <w:uiPriority w:val="99"/>
    <w:semiHidden/>
    <w:qFormat/>
    <w:rsid w:val="001c1b17"/>
    <w:rPr/>
  </w:style>
  <w:style w:type="character" w:styleId="Style13" w:customStyle="1">
    <w:name w:val="Верхний колонтитул Знак"/>
    <w:basedOn w:val="DefaultParagraphFont"/>
    <w:uiPriority w:val="99"/>
    <w:qFormat/>
    <w:rsid w:val="00c71f8a"/>
    <w:rPr/>
  </w:style>
  <w:style w:type="character" w:styleId="Style14" w:customStyle="1">
    <w:name w:val="Нижний колонтитул Знак"/>
    <w:basedOn w:val="DefaultParagraphFont"/>
    <w:uiPriority w:val="99"/>
    <w:qFormat/>
    <w:rsid w:val="00c71f8a"/>
    <w:rPr/>
  </w:style>
  <w:style w:type="character" w:styleId="Style15" w:customStyle="1">
    <w:name w:val="Заголовок Знак"/>
    <w:basedOn w:val="DefaultParagraphFont"/>
    <w:qFormat/>
    <w:rsid w:val="00207192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0478da"/>
    <w:rPr>
      <w:rFonts w:ascii="Tahoma" w:hAnsi="Tahoma" w:cs="Tahoma"/>
      <w:sz w:val="16"/>
      <w:szCs w:val="16"/>
    </w:rPr>
  </w:style>
  <w:style w:type="character" w:styleId="3" w:customStyle="1">
    <w:name w:val="Основной текст 3 Знак"/>
    <w:basedOn w:val="DefaultParagraphFont"/>
    <w:link w:val="BodyText3"/>
    <w:uiPriority w:val="99"/>
    <w:semiHidden/>
    <w:qFormat/>
    <w:rsid w:val="00890dfe"/>
    <w:rPr>
      <w:sz w:val="16"/>
      <w:szCs w:val="16"/>
    </w:rPr>
  </w:style>
  <w:style w:type="character" w:styleId="Hyperlink">
    <w:name w:val="Hyperlink"/>
    <w:rsid w:val="004c78d4"/>
    <w:rPr>
      <w:color w:val="0000FF"/>
      <w:u w:val="single"/>
    </w:rPr>
  </w:style>
  <w:style w:type="character" w:styleId="blk" w:customStyle="1">
    <w:name w:val="blk"/>
    <w:basedOn w:val="DefaultParagraphFont"/>
    <w:qFormat/>
    <w:rsid w:val="00593f7d"/>
    <w:rPr/>
  </w:style>
  <w:style w:type="character" w:styleId="11" w:customStyle="1">
    <w:name w:val="Заголовок 1 Знак"/>
    <w:basedOn w:val="DefaultParagraphFont"/>
    <w:qFormat/>
    <w:rsid w:val="00b64c22"/>
    <w:rPr>
      <w:rFonts w:ascii="Cambria" w:hAnsi="Cambria" w:eastAsia="Times New Roman" w:cs="Times New Roman"/>
      <w:b/>
      <w:bCs/>
      <w:kern w:val="2"/>
      <w:sz w:val="32"/>
      <w:szCs w:val="32"/>
      <w:lang w:val="x-none" w:eastAsia="ru-RU"/>
    </w:rPr>
  </w:style>
  <w:style w:type="character" w:styleId="2" w:customStyle="1">
    <w:name w:val="Основной текст (2)_"/>
    <w:basedOn w:val="DefaultParagraphFont"/>
    <w:link w:val="21"/>
    <w:qFormat/>
    <w:locked/>
    <w:rsid w:val="003809bd"/>
    <w:rPr>
      <w:rFonts w:ascii="Times New Roman" w:hAnsi="Times New Roman" w:eastAsia="Times New Roman" w:cs="Times New Roman"/>
      <w:sz w:val="28"/>
      <w:szCs w:val="28"/>
      <w:shd w:fill="FFFFFF" w:val="clear"/>
    </w:rPr>
  </w:style>
  <w:style w:type="character" w:styleId="Style17" w:customStyle="1">
    <w:name w:val="Гипертекстовая ссылка"/>
    <w:basedOn w:val="DefaultParagraphFont"/>
    <w:uiPriority w:val="99"/>
    <w:qFormat/>
    <w:rsid w:val="00e97f72"/>
    <w:rPr>
      <w:rFonts w:ascii="Times New Roman" w:hAnsi="Times New Roman" w:cs="Times New Roman"/>
      <w:b w:val="false"/>
      <w:bCs w:val="false"/>
      <w:color w:val="106BBE"/>
    </w:rPr>
  </w:style>
  <w:style w:type="character" w:styleId="news-title" w:customStyle="1">
    <w:name w:val="news-title"/>
    <w:basedOn w:val="DefaultParagraphFont"/>
    <w:qFormat/>
    <w:rsid w:val="00b87e0d"/>
    <w:rPr/>
  </w:style>
  <w:style w:type="character" w:styleId="FollowedHyperlink">
    <w:name w:val="FollowedHyperlink"/>
    <w:basedOn w:val="DefaultParagraphFont"/>
    <w:uiPriority w:val="99"/>
    <w:semiHidden/>
    <w:unhideWhenUsed/>
    <w:rsid w:val="007c46a7"/>
    <w:rPr>
      <w:color w:themeColor="followedHyperlink" w:val="800080"/>
      <w:u w:val="single"/>
    </w:rPr>
  </w:style>
  <w:style w:type="character" w:styleId="105pt" w:customStyle="1">
    <w:name w:val="Основной текст + 10;5 pt"/>
    <w:qFormat/>
    <w:rsid w:val="00951e00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1"/>
      <w:szCs w:val="21"/>
      <w:u w:val="none"/>
      <w:shd w:fill="FFFFFF" w:val="clear"/>
      <w:lang w:val="ru-RU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634564"/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</w:rPr>
  </w:style>
  <w:style w:type="character" w:styleId="docdata" w:customStyle="1">
    <w:name w:val="docdata"/>
    <w:qFormat/>
    <w:rsid w:val="00bc2b48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cb5d0d"/>
    <w:rPr>
      <w:color w:val="605E5C"/>
      <w:shd w:fill="E1DFDD" w:val="clear"/>
    </w:rPr>
  </w:style>
  <w:style w:type="character" w:styleId="111" w:customStyle="1">
    <w:name w:val="Заголовок 1 Знак1"/>
    <w:qFormat/>
    <w:rPr>
      <w:rFonts w:ascii="Times New Roman" w:hAnsi="Times New Roman"/>
      <w:color w:val="000000"/>
      <w:spacing w:val="3"/>
      <w:w w:val="100"/>
      <w:sz w:val="21"/>
      <w:shd w:fill="FFFFFF" w:val="clear"/>
      <w:lang w:val="ru-RU" w:eastAsia="ru-RU"/>
    </w:rPr>
  </w:style>
  <w:style w:type="character" w:styleId="Style18" w:customStyle="1">
    <w:name w:val="Цветовое выделение для Текст"/>
    <w:qFormat/>
    <w:rPr>
      <w:sz w:val="24"/>
    </w:rPr>
  </w:style>
  <w:style w:type="character" w:styleId="32" w:customStyle="1">
    <w:name w:val="Основной текст (3)"/>
    <w:qFormat/>
    <w:rPr>
      <w:rFonts w:ascii="Times New Roman" w:hAnsi="Times New Roman"/>
      <w:color w:val="000000"/>
      <w:spacing w:val="3"/>
      <w:w w:val="100"/>
      <w:sz w:val="21"/>
      <w:u w:val="none"/>
      <w:lang w:val="ru-RU" w:eastAsia="ru-RU"/>
    </w:rPr>
  </w:style>
  <w:style w:type="character" w:styleId="FontStyle21" w:customStyle="1">
    <w:name w:val="Font Style21"/>
    <w:qFormat/>
    <w:rPr>
      <w:rFonts w:ascii="Times New Roman" w:hAnsi="Times New Roman" w:cs="Times New Roman"/>
      <w:sz w:val="22"/>
      <w:szCs w:val="22"/>
    </w:rPr>
  </w:style>
  <w:style w:type="character" w:styleId="Style19" w:customStyle="1">
    <w:name w:val="Символ нумерации"/>
    <w:qFormat/>
    <w:rPr/>
  </w:style>
  <w:style w:type="character" w:styleId="Style20" w:customStyle="1">
    <w:name w:val="Абзац списка Знак"/>
    <w:link w:val="ListParagraph"/>
    <w:uiPriority w:val="34"/>
    <w:qFormat/>
    <w:locked/>
    <w:rsid w:val="0006047b"/>
    <w:rPr/>
  </w:style>
  <w:style w:type="paragraph" w:styleId="Style21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link w:val="Style12"/>
    <w:uiPriority w:val="99"/>
    <w:semiHidden/>
    <w:unhideWhenUsed/>
    <w:rsid w:val="001c1b17"/>
    <w:pPr>
      <w:spacing w:before="0" w:after="12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2" w:customStyle="1">
    <w:name w:val="Указатель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next w:val="BodyText"/>
    <w:link w:val="Style15"/>
    <w:qFormat/>
    <w:rsid w:val="00207192"/>
    <w:pPr>
      <w:spacing w:lineRule="auto" w:line="240" w:before="0" w:after="0"/>
      <w:jc w:val="center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IndexHeading">
    <w:name w:val="index heading"/>
    <w:basedOn w:val="Normal"/>
    <w:qFormat/>
    <w:pPr>
      <w:suppressLineNumbers/>
    </w:pPr>
    <w:rPr>
      <w:rFonts w:cs="Noto Sans"/>
    </w:rPr>
  </w:style>
  <w:style w:type="paragraph" w:styleId="ConsPlusNormal" w:customStyle="1">
    <w:name w:val="ConsPlusNormal"/>
    <w:qFormat/>
    <w:rsid w:val="00cc47e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eastAsia="ru-RU" w:val="ru-RU" w:bidi="ar-SA"/>
    </w:rPr>
  </w:style>
  <w:style w:type="paragraph" w:styleId="ConsPlusNonformat" w:customStyle="1">
    <w:name w:val="ConsPlusNonformat"/>
    <w:uiPriority w:val="99"/>
    <w:qFormat/>
    <w:rsid w:val="00cc47ea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c47e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" w:cs="Calibri" w:eastAsiaTheme="minorEastAsia"/>
      <w:b/>
      <w:bCs/>
      <w:color w:val="auto"/>
      <w:kern w:val="0"/>
      <w:sz w:val="22"/>
      <w:szCs w:val="22"/>
      <w:lang w:eastAsia="ru-RU" w:val="ru-RU" w:bidi="ar-SA"/>
    </w:rPr>
  </w:style>
  <w:style w:type="paragraph" w:styleId="ConsPlusCell" w:customStyle="1">
    <w:name w:val="ConsPlusCell"/>
    <w:uiPriority w:val="99"/>
    <w:qFormat/>
    <w:rsid w:val="00cc47e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eastAsia="ru-RU" w:val="ru-RU" w:bidi="ar-SA"/>
    </w:rPr>
  </w:style>
  <w:style w:type="paragraph" w:styleId="ListParagraph">
    <w:name w:val="List Paragraph"/>
    <w:basedOn w:val="Normal"/>
    <w:link w:val="Style20"/>
    <w:uiPriority w:val="34"/>
    <w:qFormat/>
    <w:rsid w:val="00f84bd7"/>
    <w:pPr>
      <w:spacing w:before="0" w:after="200"/>
      <w:ind w:left="720"/>
      <w:contextualSpacing/>
    </w:pPr>
    <w:rPr/>
  </w:style>
  <w:style w:type="paragraph" w:styleId="user" w:customStyle="1">
    <w:name w:val="Колонтитулы (user)"/>
    <w:basedOn w:val="Normal"/>
    <w:qFormat/>
    <w:pPr/>
    <w:rPr/>
  </w:style>
  <w:style w:type="paragraph" w:styleId="Style23" w:customStyle="1">
    <w:name w:val="Колонтитулы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c71f8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4"/>
    <w:uiPriority w:val="99"/>
    <w:unhideWhenUsed/>
    <w:rsid w:val="00c71f8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0478d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rsid w:val="00e342f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Default" w:customStyle="1">
    <w:name w:val="Default"/>
    <w:uiPriority w:val="99"/>
    <w:qFormat/>
    <w:rsid w:val="00e362d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BodyText3">
    <w:name w:val="Body Text 3"/>
    <w:basedOn w:val="Normal"/>
    <w:link w:val="3"/>
    <w:uiPriority w:val="99"/>
    <w:semiHidden/>
    <w:unhideWhenUsed/>
    <w:qFormat/>
    <w:rsid w:val="00890dfe"/>
    <w:pPr>
      <w:spacing w:before="0" w:after="120"/>
    </w:pPr>
    <w:rPr>
      <w:sz w:val="16"/>
      <w:szCs w:val="16"/>
    </w:rPr>
  </w:style>
  <w:style w:type="paragraph" w:styleId="21" w:customStyle="1">
    <w:name w:val="Основной текст (2)"/>
    <w:basedOn w:val="Normal"/>
    <w:link w:val="2"/>
    <w:qFormat/>
    <w:rsid w:val="003809bd"/>
    <w:pPr>
      <w:widowControl w:val="false"/>
      <w:shd w:val="clear" w:color="auto" w:fill="FFFFFF"/>
      <w:spacing w:lineRule="atLeast" w:line="0" w:before="0" w:after="120"/>
      <w:ind w:hanging="120"/>
      <w:jc w:val="center"/>
    </w:pPr>
    <w:rPr>
      <w:rFonts w:ascii="Times New Roman" w:hAnsi="Times New Roman" w:eastAsia="Times New Roman" w:cs="Times New Roman"/>
      <w:sz w:val="28"/>
      <w:szCs w:val="28"/>
    </w:rPr>
  </w:style>
  <w:style w:type="paragraph" w:styleId="western" w:customStyle="1">
    <w:name w:val="western"/>
    <w:basedOn w:val="Normal"/>
    <w:qFormat/>
    <w:rsid w:val="000936d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4" w:customStyle="1">
    <w:name w:val="Прижатый влево"/>
    <w:basedOn w:val="Normal"/>
    <w:next w:val="Normal"/>
    <w:uiPriority w:val="99"/>
    <w:qFormat/>
    <w:rsid w:val="005c186b"/>
    <w:pPr>
      <w:spacing w:lineRule="auto" w:line="240" w:before="0" w:after="0"/>
    </w:pPr>
    <w:rPr>
      <w:rFonts w:ascii="Cambria Math" w:hAnsi="Cambria Math" w:eastAsia="Verdana" w:cs="Cambria Math"/>
      <w:sz w:val="24"/>
      <w:szCs w:val="24"/>
      <w:lang w:eastAsia="ru-RU"/>
    </w:rPr>
  </w:style>
  <w:style w:type="paragraph" w:styleId="Style25" w:customStyle="1">
    <w:name w:val="Нормальный (таблица)"/>
    <w:basedOn w:val="Normal"/>
    <w:next w:val="Normal"/>
    <w:qFormat/>
    <w:rsid w:val="00163cb0"/>
    <w:pPr>
      <w:widowControl w:val="false"/>
      <w:spacing w:lineRule="auto" w:line="240" w:before="0" w:after="0"/>
      <w:jc w:val="both"/>
    </w:pPr>
    <w:rPr>
      <w:rFonts w:ascii="Arial" w:hAnsi="Arial" w:eastAsia="Times New Roman" w:cs="Times New Roman"/>
      <w:sz w:val="24"/>
      <w:szCs w:val="24"/>
      <w:lang w:eastAsia="ru-RU"/>
    </w:rPr>
  </w:style>
  <w:style w:type="paragraph" w:styleId="Style26" w:customStyle="1">
    <w:name w:val="Знак"/>
    <w:basedOn w:val="Normal"/>
    <w:qFormat/>
    <w:rsid w:val="00e55b51"/>
    <w:pPr>
      <w:spacing w:lineRule="exact" w:line="240" w:before="0" w:after="160"/>
    </w:pPr>
    <w:rPr>
      <w:rFonts w:ascii="Verdana" w:hAnsi="Verdana" w:eastAsia="Times New Roman" w:cs="Times New Roman"/>
      <w:sz w:val="20"/>
      <w:szCs w:val="20"/>
      <w:lang w:val="en-US"/>
    </w:rPr>
  </w:style>
  <w:style w:type="paragraph" w:styleId="22" w:customStyle="1">
    <w:name w:val="Основной текст2"/>
    <w:basedOn w:val="Normal"/>
    <w:qFormat/>
    <w:pPr>
      <w:shd w:val="clear" w:color="auto" w:fill="FFFFFF"/>
      <w:spacing w:lineRule="exact" w:line="322" w:before="600" w:after="0"/>
      <w:ind w:hanging="360"/>
    </w:pPr>
    <w:rPr>
      <w:rFonts w:ascii="Times New Roman" w:hAnsi="Times New Roman" w:cs="Times New Roman"/>
      <w:spacing w:val="1"/>
      <w:sz w:val="23"/>
      <w:szCs w:val="23"/>
    </w:rPr>
  </w:style>
  <w:style w:type="numbering" w:styleId="Style27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59"/>
    <w:rsid w:val="0004520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6D7D45839770D877C79D2FB4BBFD156C02B0313DE264F246B879A8C48C7406E0D14EA4C601397061BD18774B2413QFN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5219C-6CC0-4E1A-B26E-ADBD70250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Application>LibreOffice/24.8.7.2$Linux_X86_64 LibreOffice_project/480$Build-2</Application>
  <AppVersion>15.0000</AppVersion>
  <Pages>12</Pages>
  <Words>2655</Words>
  <Characters>21195</Characters>
  <CharactersWithSpaces>24880</CharactersWithSpaces>
  <Paragraphs>216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2026-04-22T08:22:00Z</dcterms:created>
  <dc:creator>User</dc:creator>
  <dc:description/>
  <dc:language>ru-RU</dc:language>
  <cp:lastModifiedBy/>
  <cp:lastPrinted>2026-02-25T14:29:00Z</cp:lastPrinted>
  <dcterms:modified xsi:type="dcterms:W3CDTF">2026-08-24T16:35:46Z</dcterms:modified>
  <cp:revision>73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