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2 квартал 2023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485" w:type="dxa"/>
        <w:jc w:val="left"/>
        <w:tblInd w:w="-63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0"/>
        <w:gridCol w:w="150"/>
        <w:gridCol w:w="4245"/>
        <w:gridCol w:w="540"/>
        <w:gridCol w:w="2175"/>
        <w:gridCol w:w="2565"/>
        <w:gridCol w:w="180"/>
      </w:tblGrid>
      <w:tr>
        <w:trPr>
          <w:trHeight w:val="699" w:hRule="atLeast"/>
        </w:trPr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088-64-08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«Телеграмм»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15.03.2023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31.05.2023 г.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30.05.2022 г.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(26 июня 2023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Международный день борьбы с наркоманией на городском пляже «Две зари» проведена молодежная квест-игра «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Молодежь против наркотиков» с общим охватом 120 человек. Волонтерами подготовлен сценарий мероприятия, задания для участников, наградной материал для призеров. Роздано 1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0 буклетов по профилактике наркомании и пропаганде ЗОЖ).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мероприятий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Разработаны буклеты по профилактике наркомании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памяток по профилактике наркомании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1" w:name="__DdeLink__427_5262034271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оперативно-профилактической операции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«Мак»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(июнь 2023 г.,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 шт.)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2" w:name="__DdeLink__427_526203427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операции «Мак-2022»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881_87181224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1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www.instagram/" TargetMode="External"/><Relationship Id="rId9" Type="http://schemas.openxmlformats.org/officeDocument/2006/relationships/hyperlink" Target="https://www.instagram.com/odmkurg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LibreOffice/6.3.6.2$Linux_X86_64 LibreOffice_project/30$Build-2</Application>
  <Pages>3</Pages>
  <Words>397</Words>
  <Characters>2875</Characters>
  <CharactersWithSpaces>3328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2023-07-07T13:18:58Z</cp:lastPrinted>
  <dcterms:modified xsi:type="dcterms:W3CDTF">2023-07-07T13:19:05Z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